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D743" w14:textId="77777777" w:rsidR="00D0024A" w:rsidRPr="00325559" w:rsidRDefault="00D0024A" w:rsidP="00D0024A">
      <w:pPr>
        <w:tabs>
          <w:tab w:val="left" w:pos="4410"/>
        </w:tabs>
        <w:spacing w:after="0" w:line="276" w:lineRule="auto"/>
        <w:ind w:left="142"/>
        <w:jc w:val="both"/>
        <w:rPr>
          <w:rFonts w:ascii="Arial" w:eastAsia="Times New Roman" w:hAnsi="Arial" w:cs="Arial"/>
          <w:b/>
          <w:lang w:val="en-GB" w:eastAsia="en-NZ"/>
        </w:rPr>
      </w:pPr>
      <w:r w:rsidRPr="00325559">
        <w:rPr>
          <w:rFonts w:ascii="Arial" w:eastAsia="Times New Roman" w:hAnsi="Arial" w:cs="Arial"/>
          <w:b/>
          <w:lang w:val="en-GB" w:eastAsia="en-NZ"/>
        </w:rPr>
        <w:t xml:space="preserve">IN THE </w:t>
      </w:r>
      <w:bookmarkStart w:id="0" w:name="_Hlk84233718"/>
      <w:r w:rsidRPr="00325559">
        <w:rPr>
          <w:rFonts w:ascii="Arial" w:eastAsia="Times New Roman" w:hAnsi="Arial" w:cs="Arial"/>
          <w:b/>
          <w:lang w:val="en-GB" w:eastAsia="en-NZ"/>
        </w:rPr>
        <w:t>SOCIAL WORKERS COMPLAINTS</w:t>
      </w:r>
    </w:p>
    <w:p w14:paraId="049B0A59" w14:textId="107F36BC" w:rsidR="00D0024A" w:rsidRPr="00325559" w:rsidRDefault="00D0024A" w:rsidP="00D0024A">
      <w:pPr>
        <w:tabs>
          <w:tab w:val="left" w:pos="4410"/>
        </w:tabs>
        <w:spacing w:after="0" w:line="276" w:lineRule="auto"/>
        <w:ind w:left="142"/>
        <w:jc w:val="both"/>
        <w:rPr>
          <w:rFonts w:ascii="Arial" w:eastAsia="Times New Roman" w:hAnsi="Arial" w:cs="Arial"/>
          <w:b/>
          <w:lang w:val="en-GB" w:eastAsia="en-NZ"/>
        </w:rPr>
      </w:pPr>
      <w:r w:rsidRPr="00325559">
        <w:rPr>
          <w:rFonts w:ascii="Arial" w:eastAsia="Times New Roman" w:hAnsi="Arial" w:cs="Arial"/>
          <w:b/>
          <w:lang w:val="en-GB" w:eastAsia="en-NZ"/>
        </w:rPr>
        <w:t xml:space="preserve">AND DISCIPLINARY </w:t>
      </w:r>
      <w:bookmarkEnd w:id="0"/>
      <w:r w:rsidRPr="00325559">
        <w:rPr>
          <w:rFonts w:ascii="Arial" w:eastAsia="Times New Roman" w:hAnsi="Arial" w:cs="Arial"/>
          <w:b/>
          <w:lang w:val="en-GB" w:eastAsia="en-NZ"/>
        </w:rPr>
        <w:t>TRIBUNAL</w:t>
      </w:r>
      <w:r w:rsidRPr="00325559">
        <w:rPr>
          <w:rFonts w:ascii="Arial" w:eastAsia="Times New Roman" w:hAnsi="Arial" w:cs="Arial"/>
          <w:b/>
          <w:lang w:val="en-GB" w:eastAsia="en-NZ"/>
        </w:rPr>
        <w:tab/>
      </w:r>
      <w:r w:rsidRPr="00325559">
        <w:rPr>
          <w:rFonts w:ascii="Arial" w:eastAsia="Times New Roman" w:hAnsi="Arial" w:cs="Arial"/>
          <w:lang w:val="en-GB" w:eastAsia="en-NZ"/>
        </w:rPr>
        <w:tab/>
        <w:t xml:space="preserve"> </w:t>
      </w:r>
      <w:r w:rsidRPr="00325559">
        <w:rPr>
          <w:rFonts w:ascii="Arial" w:eastAsia="Times New Roman" w:hAnsi="Arial" w:cs="Arial"/>
          <w:b/>
          <w:bCs/>
          <w:lang w:val="en-GB" w:eastAsia="en-NZ"/>
        </w:rPr>
        <w:t>REF:</w:t>
      </w:r>
      <w:r w:rsidR="005D3A88" w:rsidRPr="00325559">
        <w:rPr>
          <w:rFonts w:ascii="Arial" w:eastAsia="Times New Roman" w:hAnsi="Arial" w:cs="Arial"/>
          <w:b/>
          <w:bCs/>
          <w:lang w:val="en-GB" w:eastAsia="en-NZ"/>
        </w:rPr>
        <w:t xml:space="preserve"> 23/21P</w:t>
      </w:r>
    </w:p>
    <w:p w14:paraId="4AE8A61D" w14:textId="77777777" w:rsidR="00D0024A" w:rsidRPr="00325559" w:rsidRDefault="00D0024A" w:rsidP="00D0024A">
      <w:pPr>
        <w:tabs>
          <w:tab w:val="left" w:pos="1653"/>
        </w:tabs>
        <w:spacing w:after="0" w:line="240" w:lineRule="auto"/>
        <w:jc w:val="both"/>
        <w:rPr>
          <w:rFonts w:ascii="Arial" w:eastAsia="Times New Roman" w:hAnsi="Arial" w:cs="Arial"/>
          <w:lang w:val="en-GB" w:eastAsia="en-NZ"/>
        </w:rPr>
      </w:pPr>
    </w:p>
    <w:tbl>
      <w:tblPr>
        <w:tblStyle w:val="TableGrid"/>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353"/>
      </w:tblGrid>
      <w:tr w:rsidR="00D0024A" w:rsidRPr="00325559" w14:paraId="3708EBA7" w14:textId="77777777" w:rsidTr="00575B48">
        <w:tc>
          <w:tcPr>
            <w:tcW w:w="2268" w:type="dxa"/>
          </w:tcPr>
          <w:p w14:paraId="5A397FB3"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p>
        </w:tc>
        <w:tc>
          <w:tcPr>
            <w:tcW w:w="5353" w:type="dxa"/>
          </w:tcPr>
          <w:p w14:paraId="6AE4D5B5"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p>
          <w:p w14:paraId="67E77F3B"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p>
        </w:tc>
      </w:tr>
      <w:tr w:rsidR="00D0024A" w:rsidRPr="00325559" w14:paraId="6BBB20D7" w14:textId="77777777" w:rsidTr="00575B48">
        <w:tc>
          <w:tcPr>
            <w:tcW w:w="2268" w:type="dxa"/>
          </w:tcPr>
          <w:p w14:paraId="6C452AC0"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r w:rsidRPr="00325559">
              <w:rPr>
                <w:rFonts w:ascii="Arial" w:eastAsia="Times New Roman" w:hAnsi="Arial" w:cs="Arial"/>
                <w:b/>
                <w:lang w:val="en-GB" w:eastAsia="en-NZ"/>
              </w:rPr>
              <w:t>Under</w:t>
            </w:r>
          </w:p>
        </w:tc>
        <w:tc>
          <w:tcPr>
            <w:tcW w:w="5353" w:type="dxa"/>
          </w:tcPr>
          <w:p w14:paraId="3485F3B9"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Cs/>
                <w:lang w:val="en-GB" w:eastAsia="en-NZ"/>
              </w:rPr>
            </w:pPr>
            <w:r w:rsidRPr="00325559">
              <w:rPr>
                <w:rFonts w:ascii="Arial" w:eastAsia="Times New Roman" w:hAnsi="Arial" w:cs="Arial"/>
                <w:bCs/>
                <w:lang w:val="en-GB" w:eastAsia="en-NZ"/>
              </w:rPr>
              <w:t xml:space="preserve">The Social Workers Registration Act 2003 (the </w:t>
            </w:r>
            <w:r w:rsidRPr="00325559">
              <w:rPr>
                <w:rFonts w:ascii="Arial" w:eastAsia="Times New Roman" w:hAnsi="Arial" w:cs="Arial"/>
                <w:b/>
                <w:lang w:val="en-GB" w:eastAsia="en-NZ"/>
              </w:rPr>
              <w:t>Act</w:t>
            </w:r>
            <w:r w:rsidRPr="00325559">
              <w:rPr>
                <w:rFonts w:ascii="Arial" w:eastAsia="Times New Roman" w:hAnsi="Arial" w:cs="Arial"/>
                <w:bCs/>
                <w:lang w:val="en-GB" w:eastAsia="en-NZ"/>
              </w:rPr>
              <w:t>)</w:t>
            </w:r>
          </w:p>
          <w:p w14:paraId="11E3D04F"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Cs/>
                <w:lang w:val="en-GB" w:eastAsia="en-NZ"/>
              </w:rPr>
            </w:pPr>
          </w:p>
        </w:tc>
      </w:tr>
      <w:tr w:rsidR="00D0024A" w:rsidRPr="00325559" w14:paraId="2BEE122B" w14:textId="77777777" w:rsidTr="00575B48">
        <w:tc>
          <w:tcPr>
            <w:tcW w:w="2268" w:type="dxa"/>
          </w:tcPr>
          <w:p w14:paraId="04E7D683"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r w:rsidRPr="00325559">
              <w:rPr>
                <w:rFonts w:ascii="Arial" w:eastAsia="Times New Roman" w:hAnsi="Arial" w:cs="Arial"/>
                <w:b/>
                <w:lang w:val="en-GB" w:eastAsia="en-NZ"/>
              </w:rPr>
              <w:t>In the matter</w:t>
            </w:r>
          </w:p>
        </w:tc>
        <w:tc>
          <w:tcPr>
            <w:tcW w:w="5353" w:type="dxa"/>
          </w:tcPr>
          <w:p w14:paraId="4D1D238D" w14:textId="169D8A1A"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Cs/>
                <w:lang w:val="en-GB" w:eastAsia="en-NZ"/>
              </w:rPr>
            </w:pPr>
            <w:r w:rsidRPr="00325559">
              <w:rPr>
                <w:rFonts w:ascii="Arial" w:eastAsia="Times New Roman" w:hAnsi="Arial" w:cs="Arial"/>
                <w:bCs/>
                <w:lang w:val="en-GB" w:eastAsia="en-NZ"/>
              </w:rPr>
              <w:t>A disciplinary charge laid against a</w:t>
            </w:r>
            <w:r w:rsidR="005D3A88" w:rsidRPr="00325559">
              <w:rPr>
                <w:rFonts w:ascii="Arial" w:eastAsia="Times New Roman" w:hAnsi="Arial" w:cs="Arial"/>
                <w:bCs/>
                <w:lang w:val="en-GB" w:eastAsia="en-NZ"/>
              </w:rPr>
              <w:t xml:space="preserve"> registered</w:t>
            </w:r>
            <w:r w:rsidRPr="00325559">
              <w:rPr>
                <w:rFonts w:ascii="Arial" w:eastAsia="Times New Roman" w:hAnsi="Arial" w:cs="Arial"/>
                <w:bCs/>
                <w:lang w:val="en-GB" w:eastAsia="en-NZ"/>
              </w:rPr>
              <w:t xml:space="preserve"> social worker under Part 4 of the Act </w:t>
            </w:r>
          </w:p>
          <w:p w14:paraId="71E9A865"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p>
        </w:tc>
      </w:tr>
      <w:tr w:rsidR="00D0024A" w:rsidRPr="00325559" w14:paraId="101E272B" w14:textId="77777777" w:rsidTr="00575B48">
        <w:tc>
          <w:tcPr>
            <w:tcW w:w="2268" w:type="dxa"/>
          </w:tcPr>
          <w:p w14:paraId="673BCF9D"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r w:rsidRPr="00325559">
              <w:rPr>
                <w:rFonts w:ascii="Arial" w:eastAsia="Times New Roman" w:hAnsi="Arial" w:cs="Arial"/>
                <w:b/>
                <w:lang w:val="en-GB" w:eastAsia="en-NZ"/>
              </w:rPr>
              <w:t>Between</w:t>
            </w:r>
          </w:p>
        </w:tc>
        <w:tc>
          <w:tcPr>
            <w:tcW w:w="5353" w:type="dxa"/>
          </w:tcPr>
          <w:p w14:paraId="7C98ABA0"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r w:rsidRPr="00325559">
              <w:rPr>
                <w:rFonts w:ascii="Arial" w:eastAsia="Times New Roman" w:hAnsi="Arial" w:cs="Arial"/>
                <w:b/>
                <w:lang w:val="en-GB" w:eastAsia="en-NZ"/>
              </w:rPr>
              <w:t xml:space="preserve">A Professional Conduct Committee </w:t>
            </w:r>
            <w:r w:rsidRPr="00325559">
              <w:rPr>
                <w:rFonts w:ascii="Arial" w:eastAsia="Times New Roman" w:hAnsi="Arial" w:cs="Arial"/>
                <w:bCs/>
                <w:lang w:val="en-GB" w:eastAsia="en-NZ"/>
              </w:rPr>
              <w:t>appointed by the</w:t>
            </w:r>
            <w:r w:rsidRPr="00325559">
              <w:rPr>
                <w:rFonts w:ascii="Arial" w:eastAsia="Times New Roman" w:hAnsi="Arial" w:cs="Arial"/>
                <w:b/>
                <w:lang w:val="en-GB" w:eastAsia="en-NZ"/>
              </w:rPr>
              <w:t xml:space="preserve"> Social Workers Registration Board</w:t>
            </w:r>
          </w:p>
          <w:p w14:paraId="07FD010E"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p>
        </w:tc>
      </w:tr>
      <w:tr w:rsidR="00D0024A" w:rsidRPr="00325559" w14:paraId="212C3C34" w14:textId="77777777" w:rsidTr="00575B48">
        <w:tc>
          <w:tcPr>
            <w:tcW w:w="2268" w:type="dxa"/>
          </w:tcPr>
          <w:p w14:paraId="6FD14F1F"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r w:rsidRPr="00325559">
              <w:rPr>
                <w:rFonts w:ascii="Arial" w:eastAsia="Times New Roman" w:hAnsi="Arial" w:cs="Arial"/>
                <w:b/>
                <w:lang w:val="en-GB" w:eastAsia="en-NZ"/>
              </w:rPr>
              <w:t>And</w:t>
            </w:r>
          </w:p>
        </w:tc>
        <w:tc>
          <w:tcPr>
            <w:tcW w:w="5353" w:type="dxa"/>
          </w:tcPr>
          <w:p w14:paraId="4BD5426F" w14:textId="50F8F3AC" w:rsidR="00D0024A" w:rsidRPr="00325559" w:rsidRDefault="00E76DCF" w:rsidP="00575B48">
            <w:pPr>
              <w:tabs>
                <w:tab w:val="left" w:pos="709"/>
                <w:tab w:val="left" w:pos="1653"/>
                <w:tab w:val="left" w:pos="2410"/>
              </w:tabs>
              <w:spacing w:before="120" w:line="276" w:lineRule="auto"/>
              <w:jc w:val="both"/>
              <w:rPr>
                <w:rFonts w:ascii="Arial" w:eastAsia="Times New Roman" w:hAnsi="Arial" w:cs="Arial"/>
                <w:bCs/>
                <w:lang w:val="en-GB" w:eastAsia="en-NZ"/>
              </w:rPr>
            </w:pPr>
            <w:r>
              <w:rPr>
                <w:rFonts w:ascii="Arial" w:eastAsia="Times New Roman" w:hAnsi="Arial" w:cs="Arial"/>
                <w:b/>
                <w:lang w:val="en-GB" w:eastAsia="en-NZ"/>
              </w:rPr>
              <w:t>Ms [H]</w:t>
            </w:r>
            <w:r w:rsidR="00D0024A" w:rsidRPr="00325559">
              <w:rPr>
                <w:rFonts w:ascii="Arial" w:eastAsia="Times New Roman" w:hAnsi="Arial" w:cs="Arial"/>
                <w:b/>
                <w:lang w:val="en-GB" w:eastAsia="en-NZ"/>
              </w:rPr>
              <w:t xml:space="preserve"> </w:t>
            </w:r>
            <w:r w:rsidR="00D0024A" w:rsidRPr="00325559">
              <w:rPr>
                <w:rFonts w:ascii="Arial" w:eastAsia="Times New Roman" w:hAnsi="Arial" w:cs="Arial"/>
                <w:bCs/>
                <w:lang w:val="en-GB" w:eastAsia="en-NZ"/>
              </w:rPr>
              <w:t xml:space="preserve">of </w:t>
            </w:r>
            <w:r>
              <w:rPr>
                <w:rFonts w:ascii="Arial" w:eastAsia="Times New Roman" w:hAnsi="Arial" w:cs="Arial"/>
                <w:bCs/>
                <w:lang w:val="en-GB" w:eastAsia="en-NZ"/>
              </w:rPr>
              <w:t>[city]</w:t>
            </w:r>
            <w:r w:rsidR="00D0024A" w:rsidRPr="00325559">
              <w:rPr>
                <w:rFonts w:ascii="Arial" w:eastAsia="Times New Roman" w:hAnsi="Arial" w:cs="Arial"/>
                <w:bCs/>
                <w:lang w:val="en-GB" w:eastAsia="en-NZ"/>
              </w:rPr>
              <w:t>,</w:t>
            </w:r>
            <w:r w:rsidR="00730BC4" w:rsidRPr="00325559">
              <w:rPr>
                <w:rFonts w:ascii="Arial" w:eastAsia="Times New Roman" w:hAnsi="Arial" w:cs="Arial"/>
                <w:bCs/>
                <w:lang w:val="en-GB" w:eastAsia="en-NZ"/>
              </w:rPr>
              <w:t xml:space="preserve"> </w:t>
            </w:r>
            <w:r w:rsidR="00D0024A" w:rsidRPr="00325559">
              <w:rPr>
                <w:rFonts w:ascii="Arial" w:eastAsia="Times New Roman" w:hAnsi="Arial" w:cs="Arial"/>
                <w:bCs/>
                <w:lang w:val="en-GB" w:eastAsia="en-NZ"/>
              </w:rPr>
              <w:t>registered social worker</w:t>
            </w:r>
          </w:p>
          <w:p w14:paraId="4F628500"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r w:rsidRPr="00325559">
              <w:rPr>
                <w:rFonts w:ascii="Arial" w:eastAsia="Times New Roman" w:hAnsi="Arial" w:cs="Arial"/>
                <w:b/>
                <w:lang w:val="en-GB" w:eastAsia="en-NZ"/>
              </w:rPr>
              <w:t>Practitioner</w:t>
            </w:r>
          </w:p>
          <w:p w14:paraId="11952154" w14:textId="77777777" w:rsidR="00D0024A" w:rsidRPr="00325559" w:rsidRDefault="00D0024A" w:rsidP="00575B48">
            <w:pPr>
              <w:tabs>
                <w:tab w:val="left" w:pos="709"/>
                <w:tab w:val="left" w:pos="1653"/>
                <w:tab w:val="left" w:pos="2410"/>
              </w:tabs>
              <w:spacing w:before="120" w:line="276" w:lineRule="auto"/>
              <w:jc w:val="both"/>
              <w:rPr>
                <w:rFonts w:ascii="Arial" w:eastAsia="Times New Roman" w:hAnsi="Arial" w:cs="Arial"/>
                <w:b/>
                <w:lang w:val="en-GB" w:eastAsia="en-NZ"/>
              </w:rPr>
            </w:pPr>
          </w:p>
        </w:tc>
      </w:tr>
    </w:tbl>
    <w:p w14:paraId="77E8400C" w14:textId="77777777" w:rsidR="00D0024A" w:rsidRPr="00325559" w:rsidRDefault="00D0024A" w:rsidP="00D0024A">
      <w:pPr>
        <w:tabs>
          <w:tab w:val="left" w:pos="1653"/>
        </w:tabs>
        <w:spacing w:before="120" w:after="0" w:line="240" w:lineRule="auto"/>
        <w:jc w:val="both"/>
        <w:rPr>
          <w:rFonts w:ascii="Arial" w:eastAsia="Times New Roman" w:hAnsi="Arial" w:cs="Arial"/>
          <w:lang w:val="en-GB" w:eastAsia="en-NZ"/>
        </w:rPr>
      </w:pPr>
    </w:p>
    <w:p w14:paraId="23EDF15D" w14:textId="77777777" w:rsidR="00D0024A" w:rsidRPr="00325559" w:rsidRDefault="00D0024A" w:rsidP="00D0024A">
      <w:pPr>
        <w:pBdr>
          <w:bottom w:val="single" w:sz="12" w:space="1" w:color="auto"/>
        </w:pBdr>
        <w:tabs>
          <w:tab w:val="left" w:pos="1653"/>
        </w:tabs>
        <w:spacing w:before="120" w:after="0" w:line="240" w:lineRule="auto"/>
        <w:jc w:val="both"/>
        <w:rPr>
          <w:rFonts w:ascii="Arial" w:eastAsia="Times New Roman" w:hAnsi="Arial" w:cs="Arial"/>
          <w:lang w:val="en-GB" w:eastAsia="en-NZ"/>
        </w:rPr>
      </w:pPr>
    </w:p>
    <w:p w14:paraId="7DD89BDF" w14:textId="77777777" w:rsidR="0080704F" w:rsidRPr="00325559" w:rsidRDefault="0080704F" w:rsidP="0080704F">
      <w:pPr>
        <w:tabs>
          <w:tab w:val="left" w:pos="1653"/>
        </w:tabs>
        <w:spacing w:before="60" w:after="0" w:line="240" w:lineRule="auto"/>
        <w:jc w:val="center"/>
        <w:rPr>
          <w:rFonts w:ascii="Arial" w:eastAsia="Times New Roman" w:hAnsi="Arial" w:cs="Arial"/>
          <w:lang w:val="en-GB" w:eastAsia="en-NZ"/>
        </w:rPr>
      </w:pPr>
    </w:p>
    <w:p w14:paraId="711E40F5" w14:textId="312E7E4A" w:rsidR="00D0024A" w:rsidRPr="00325559" w:rsidRDefault="00325559" w:rsidP="00D0024A">
      <w:pPr>
        <w:spacing w:after="0" w:line="360" w:lineRule="auto"/>
        <w:jc w:val="center"/>
        <w:rPr>
          <w:rFonts w:ascii="Arial" w:eastAsia="Times New Roman" w:hAnsi="Arial" w:cs="Arial"/>
          <w:b/>
          <w:lang w:val="en-GB" w:eastAsia="en-NZ"/>
        </w:rPr>
      </w:pPr>
      <w:r w:rsidRPr="00325559">
        <w:rPr>
          <w:rFonts w:ascii="Arial" w:eastAsia="Times New Roman" w:hAnsi="Arial" w:cs="Arial"/>
          <w:b/>
          <w:lang w:val="en-GB" w:eastAsia="en-NZ"/>
        </w:rPr>
        <w:t>Decision on Liability, Penalty and Non-Publication</w:t>
      </w:r>
    </w:p>
    <w:p w14:paraId="30AEDD0F" w14:textId="42919AB1" w:rsidR="00D0024A" w:rsidRPr="00325559" w:rsidRDefault="00D0024A" w:rsidP="00D0024A">
      <w:pPr>
        <w:spacing w:after="0" w:line="360" w:lineRule="auto"/>
        <w:ind w:firstLine="131"/>
        <w:jc w:val="center"/>
        <w:rPr>
          <w:rFonts w:ascii="Arial" w:eastAsia="Times New Roman" w:hAnsi="Arial" w:cs="Arial"/>
          <w:b/>
          <w:bCs/>
          <w:lang w:val="en-GB" w:eastAsia="en-NZ"/>
        </w:rPr>
      </w:pPr>
      <w:r w:rsidRPr="00325559">
        <w:rPr>
          <w:rFonts w:ascii="Arial" w:eastAsia="Times New Roman" w:hAnsi="Arial" w:cs="Arial"/>
          <w:b/>
          <w:bCs/>
          <w:lang w:val="en-GB" w:eastAsia="en-NZ"/>
        </w:rPr>
        <w:t xml:space="preserve">Dated: </w:t>
      </w:r>
      <w:r w:rsidR="000E0780">
        <w:rPr>
          <w:rFonts w:ascii="Arial" w:eastAsia="Times New Roman" w:hAnsi="Arial" w:cs="Arial"/>
          <w:b/>
          <w:bCs/>
          <w:lang w:val="en-GB" w:eastAsia="en-NZ"/>
        </w:rPr>
        <w:t xml:space="preserve">8 </w:t>
      </w:r>
      <w:r w:rsidR="00325559" w:rsidRPr="00325559">
        <w:rPr>
          <w:rFonts w:ascii="Arial" w:eastAsia="Times New Roman" w:hAnsi="Arial" w:cs="Arial"/>
          <w:b/>
          <w:bCs/>
          <w:lang w:val="en-GB" w:eastAsia="en-NZ"/>
        </w:rPr>
        <w:t>March 2024</w:t>
      </w:r>
    </w:p>
    <w:p w14:paraId="5F492A63" w14:textId="3565F69B" w:rsidR="00D0024A" w:rsidRPr="00325559" w:rsidRDefault="00D0024A" w:rsidP="0080704F">
      <w:pPr>
        <w:tabs>
          <w:tab w:val="left" w:pos="1653"/>
        </w:tabs>
        <w:spacing w:before="60" w:after="0" w:line="240" w:lineRule="auto"/>
        <w:jc w:val="center"/>
        <w:rPr>
          <w:rFonts w:ascii="Arial" w:eastAsia="Times New Roman" w:hAnsi="Arial" w:cs="Arial"/>
          <w:lang w:val="en-GB" w:eastAsia="en-NZ"/>
        </w:rPr>
      </w:pPr>
      <w:r w:rsidRPr="00325559">
        <w:rPr>
          <w:rFonts w:ascii="Arial" w:eastAsia="Times New Roman" w:hAnsi="Arial" w:cs="Arial"/>
          <w:lang w:val="en-GB" w:eastAsia="en-NZ"/>
        </w:rPr>
        <w:t>_________________________________________________________</w:t>
      </w:r>
    </w:p>
    <w:p w14:paraId="14EBF4A7" w14:textId="77777777" w:rsidR="00D0024A" w:rsidRPr="00325559" w:rsidRDefault="00D0024A" w:rsidP="00D0024A">
      <w:pPr>
        <w:tabs>
          <w:tab w:val="left" w:pos="709"/>
          <w:tab w:val="left" w:pos="1653"/>
          <w:tab w:val="left" w:pos="1965"/>
          <w:tab w:val="left" w:pos="2410"/>
        </w:tabs>
        <w:spacing w:before="120" w:after="0" w:line="276" w:lineRule="auto"/>
        <w:jc w:val="both"/>
        <w:rPr>
          <w:rFonts w:ascii="Arial" w:eastAsia="Times New Roman" w:hAnsi="Arial" w:cs="Arial"/>
          <w:bCs/>
          <w:lang w:val="en-GB" w:eastAsia="en-NZ"/>
        </w:rPr>
      </w:pPr>
    </w:p>
    <w:p w14:paraId="3B157898" w14:textId="77777777" w:rsidR="00D0024A" w:rsidRPr="00325559" w:rsidRDefault="00D0024A" w:rsidP="00D0024A">
      <w:pPr>
        <w:tabs>
          <w:tab w:val="left" w:pos="709"/>
          <w:tab w:val="left" w:pos="1653"/>
          <w:tab w:val="left" w:pos="1965"/>
          <w:tab w:val="left" w:pos="2410"/>
        </w:tabs>
        <w:spacing w:before="120" w:after="0" w:line="276" w:lineRule="auto"/>
        <w:jc w:val="both"/>
        <w:rPr>
          <w:rFonts w:ascii="Arial" w:eastAsia="Times New Roman" w:hAnsi="Arial" w:cs="Arial"/>
          <w:bCs/>
          <w:lang w:val="en-GB" w:eastAsia="en-NZ"/>
        </w:rPr>
      </w:pPr>
    </w:p>
    <w:p w14:paraId="53760E4E" w14:textId="77777777" w:rsidR="00D0024A" w:rsidRPr="00325559" w:rsidRDefault="005D3A88" w:rsidP="005D3A88">
      <w:pPr>
        <w:ind w:left="2160" w:hanging="2160"/>
        <w:rPr>
          <w:rFonts w:ascii="Arial" w:eastAsia="Calibri" w:hAnsi="Arial" w:cs="Arial"/>
        </w:rPr>
      </w:pPr>
      <w:r w:rsidRPr="00325559">
        <w:rPr>
          <w:rFonts w:ascii="Arial" w:eastAsia="Calibri" w:hAnsi="Arial" w:cs="Arial"/>
        </w:rPr>
        <w:t>Representatives:</w:t>
      </w:r>
      <w:r w:rsidRPr="00325559">
        <w:rPr>
          <w:rFonts w:ascii="Arial" w:eastAsia="Calibri" w:hAnsi="Arial" w:cs="Arial"/>
        </w:rPr>
        <w:tab/>
        <w:t xml:space="preserve">Ellie Wilson, </w:t>
      </w:r>
      <w:proofErr w:type="spellStart"/>
      <w:r w:rsidRPr="00325559">
        <w:rPr>
          <w:rFonts w:ascii="Arial" w:eastAsia="Calibri" w:hAnsi="Arial" w:cs="Arial"/>
        </w:rPr>
        <w:t>Govett</w:t>
      </w:r>
      <w:proofErr w:type="spellEnd"/>
      <w:r w:rsidRPr="00325559">
        <w:rPr>
          <w:rFonts w:ascii="Arial" w:eastAsia="Calibri" w:hAnsi="Arial" w:cs="Arial"/>
        </w:rPr>
        <w:t xml:space="preserve"> Quilliam and Ruth James for the Professional Conduct Committee</w:t>
      </w:r>
    </w:p>
    <w:p w14:paraId="519A1CE8" w14:textId="17B80161" w:rsidR="005D3A88" w:rsidRDefault="005D3A88" w:rsidP="005D3A88">
      <w:pPr>
        <w:ind w:left="2160" w:hanging="2160"/>
        <w:rPr>
          <w:rFonts w:ascii="Arial" w:eastAsia="Calibri" w:hAnsi="Arial" w:cs="Arial"/>
        </w:rPr>
      </w:pPr>
      <w:r w:rsidRPr="00325559">
        <w:rPr>
          <w:rFonts w:ascii="Arial" w:eastAsia="Calibri" w:hAnsi="Arial" w:cs="Arial"/>
        </w:rPr>
        <w:tab/>
        <w:t xml:space="preserve">Anselm Williams, for Ms </w:t>
      </w:r>
      <w:r w:rsidR="004835C6">
        <w:rPr>
          <w:rFonts w:ascii="Arial" w:eastAsia="Calibri" w:hAnsi="Arial" w:cs="Arial"/>
        </w:rPr>
        <w:t>[H]</w:t>
      </w:r>
    </w:p>
    <w:p w14:paraId="4C22B4C2" w14:textId="77777777" w:rsidR="00936445" w:rsidRDefault="00936445" w:rsidP="005D3A88">
      <w:pPr>
        <w:ind w:left="2160" w:hanging="2160"/>
        <w:rPr>
          <w:rFonts w:ascii="Arial" w:eastAsia="Calibri" w:hAnsi="Arial" w:cs="Arial"/>
        </w:rPr>
      </w:pPr>
    </w:p>
    <w:p w14:paraId="1B14D63E" w14:textId="17A2DD83" w:rsidR="00936445" w:rsidRDefault="00936445" w:rsidP="005D3A88">
      <w:pPr>
        <w:ind w:left="2160" w:hanging="2160"/>
        <w:rPr>
          <w:rFonts w:ascii="Arial" w:eastAsia="Calibri" w:hAnsi="Arial" w:cs="Arial"/>
        </w:rPr>
      </w:pPr>
      <w:r>
        <w:rPr>
          <w:rFonts w:ascii="Arial" w:eastAsia="Calibri" w:hAnsi="Arial" w:cs="Arial"/>
        </w:rPr>
        <w:t>Tribunal:</w:t>
      </w:r>
      <w:r>
        <w:rPr>
          <w:rFonts w:ascii="Arial" w:eastAsia="Calibri" w:hAnsi="Arial" w:cs="Arial"/>
        </w:rPr>
        <w:tab/>
        <w:t>C</w:t>
      </w:r>
      <w:r w:rsidR="00EF713E">
        <w:rPr>
          <w:rFonts w:ascii="Arial" w:eastAsia="Calibri" w:hAnsi="Arial" w:cs="Arial"/>
        </w:rPr>
        <w:t>atherine</w:t>
      </w:r>
      <w:r>
        <w:rPr>
          <w:rFonts w:ascii="Arial" w:eastAsia="Calibri" w:hAnsi="Arial" w:cs="Arial"/>
        </w:rPr>
        <w:t xml:space="preserve"> Garvey (Chair</w:t>
      </w:r>
      <w:r w:rsidR="00E12470">
        <w:rPr>
          <w:rFonts w:ascii="Arial" w:eastAsia="Calibri" w:hAnsi="Arial" w:cs="Arial"/>
        </w:rPr>
        <w:t>)</w:t>
      </w:r>
      <w:r>
        <w:rPr>
          <w:rFonts w:ascii="Arial" w:eastAsia="Calibri" w:hAnsi="Arial" w:cs="Arial"/>
        </w:rPr>
        <w:t xml:space="preserve">, </w:t>
      </w:r>
      <w:r w:rsidR="00E12470">
        <w:rPr>
          <w:rFonts w:ascii="Arial" w:eastAsia="Calibri" w:hAnsi="Arial" w:cs="Arial"/>
        </w:rPr>
        <w:t xml:space="preserve">Dr Sonya Hunt, Sue Jarvis, </w:t>
      </w:r>
      <w:r>
        <w:rPr>
          <w:rFonts w:ascii="Arial" w:eastAsia="Calibri" w:hAnsi="Arial" w:cs="Arial"/>
        </w:rPr>
        <w:t>Andrea McKenzie</w:t>
      </w:r>
      <w:r w:rsidR="00DB5941">
        <w:rPr>
          <w:rFonts w:ascii="Arial" w:eastAsia="Calibri" w:hAnsi="Arial" w:cs="Arial"/>
        </w:rPr>
        <w:t xml:space="preserve"> (registered social workers)</w:t>
      </w:r>
      <w:r>
        <w:rPr>
          <w:rFonts w:ascii="Arial" w:eastAsia="Calibri" w:hAnsi="Arial" w:cs="Arial"/>
        </w:rPr>
        <w:t>, Jackie Pearse</w:t>
      </w:r>
      <w:r w:rsidR="00DB5941">
        <w:rPr>
          <w:rFonts w:ascii="Arial" w:eastAsia="Calibri" w:hAnsi="Arial" w:cs="Arial"/>
        </w:rPr>
        <w:t xml:space="preserve"> (layperson)</w:t>
      </w:r>
      <w:r w:rsidR="00EF713E">
        <w:rPr>
          <w:rFonts w:ascii="Arial" w:eastAsia="Calibri" w:hAnsi="Arial" w:cs="Arial"/>
        </w:rPr>
        <w:t>.</w:t>
      </w:r>
    </w:p>
    <w:p w14:paraId="26BF5B78" w14:textId="77777777" w:rsidR="00DB5941" w:rsidRDefault="00DB5941" w:rsidP="005D3A88">
      <w:pPr>
        <w:ind w:left="2160" w:hanging="2160"/>
        <w:rPr>
          <w:rFonts w:ascii="Arial" w:eastAsia="Calibri" w:hAnsi="Arial" w:cs="Arial"/>
        </w:rPr>
      </w:pPr>
    </w:p>
    <w:p w14:paraId="741B71B2" w14:textId="59818A0E" w:rsidR="00DB5941" w:rsidRDefault="00DB5941" w:rsidP="004D2089">
      <w:pPr>
        <w:ind w:left="2160"/>
        <w:rPr>
          <w:rFonts w:ascii="Arial" w:eastAsia="Calibri" w:hAnsi="Arial" w:cs="Arial"/>
        </w:rPr>
      </w:pPr>
      <w:r>
        <w:rPr>
          <w:rFonts w:ascii="Arial" w:eastAsia="Calibri" w:hAnsi="Arial" w:cs="Arial"/>
        </w:rPr>
        <w:t>G</w:t>
      </w:r>
      <w:r w:rsidR="00EF713E">
        <w:rPr>
          <w:rFonts w:ascii="Arial" w:eastAsia="Calibri" w:hAnsi="Arial" w:cs="Arial"/>
        </w:rPr>
        <w:t>ay</w:t>
      </w:r>
      <w:r>
        <w:rPr>
          <w:rFonts w:ascii="Arial" w:eastAsia="Calibri" w:hAnsi="Arial" w:cs="Arial"/>
        </w:rPr>
        <w:t xml:space="preserve"> Fraser (Hearing Officer)</w:t>
      </w:r>
    </w:p>
    <w:p w14:paraId="2D115728" w14:textId="77777777" w:rsidR="00DB5941" w:rsidRDefault="00DB5941" w:rsidP="005D3A88">
      <w:pPr>
        <w:ind w:left="2160" w:hanging="2160"/>
        <w:rPr>
          <w:rFonts w:ascii="Arial" w:eastAsia="Calibri" w:hAnsi="Arial" w:cs="Arial"/>
        </w:rPr>
      </w:pPr>
    </w:p>
    <w:p w14:paraId="41C03576" w14:textId="2C251957" w:rsidR="00DB5941" w:rsidRPr="00325559" w:rsidRDefault="00DB5941" w:rsidP="005D3A88">
      <w:pPr>
        <w:ind w:left="2160" w:hanging="2160"/>
        <w:rPr>
          <w:rFonts w:ascii="Arial" w:eastAsia="Calibri" w:hAnsi="Arial" w:cs="Arial"/>
        </w:rPr>
        <w:sectPr w:rsidR="00DB5941" w:rsidRPr="00325559" w:rsidSect="00907D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2835" w:header="709" w:footer="709" w:gutter="0"/>
          <w:cols w:space="708"/>
          <w:docGrid w:linePitch="360"/>
        </w:sectPr>
      </w:pPr>
    </w:p>
    <w:p w14:paraId="658A8937" w14:textId="77777777" w:rsidR="00325559" w:rsidRDefault="005D3A88" w:rsidP="00936445">
      <w:pPr>
        <w:spacing w:after="240" w:line="360" w:lineRule="auto"/>
        <w:ind w:firstLine="720"/>
        <w:jc w:val="both"/>
        <w:rPr>
          <w:rFonts w:ascii="Arial" w:eastAsia="Times New Roman" w:hAnsi="Arial" w:cs="Arial"/>
          <w:b/>
          <w:lang w:val="en-GB"/>
        </w:rPr>
      </w:pPr>
      <w:r w:rsidRPr="00325559">
        <w:rPr>
          <w:rFonts w:ascii="Arial" w:eastAsia="Times New Roman" w:hAnsi="Arial" w:cs="Arial"/>
          <w:b/>
          <w:lang w:val="en-GB"/>
        </w:rPr>
        <w:lastRenderedPageBreak/>
        <w:t>Background</w:t>
      </w:r>
      <w:r w:rsidR="00D0024A" w:rsidRPr="00325559">
        <w:rPr>
          <w:rFonts w:ascii="Arial" w:eastAsia="Times New Roman" w:hAnsi="Arial" w:cs="Arial"/>
          <w:b/>
          <w:lang w:val="en-GB"/>
        </w:rPr>
        <w:t xml:space="preserve"> </w:t>
      </w:r>
    </w:p>
    <w:p w14:paraId="65CC3286" w14:textId="2CC06D2A" w:rsidR="00325559" w:rsidRPr="00325559" w:rsidRDefault="004835C6" w:rsidP="00325559">
      <w:pPr>
        <w:pStyle w:val="ListParagraph"/>
        <w:numPr>
          <w:ilvl w:val="0"/>
          <w:numId w:val="18"/>
        </w:numPr>
        <w:spacing w:after="240" w:line="360" w:lineRule="auto"/>
        <w:jc w:val="both"/>
        <w:rPr>
          <w:rFonts w:ascii="Arial" w:eastAsia="Times New Roman" w:hAnsi="Arial" w:cs="Arial"/>
          <w:b/>
          <w:lang w:val="en-GB"/>
        </w:rPr>
      </w:pPr>
      <w:r>
        <w:rPr>
          <w:rFonts w:ascii="Arial" w:eastAsia="Times New Roman" w:hAnsi="Arial" w:cs="Arial"/>
          <w:bCs/>
          <w:lang w:val="en-GB"/>
        </w:rPr>
        <w:t>Ms [H]</w:t>
      </w:r>
      <w:r w:rsidR="005D3A88" w:rsidRPr="00325559">
        <w:rPr>
          <w:rFonts w:ascii="Arial" w:eastAsia="Times New Roman" w:hAnsi="Arial" w:cs="Arial"/>
          <w:bCs/>
          <w:lang w:val="en-GB"/>
        </w:rPr>
        <w:t xml:space="preserve"> </w:t>
      </w:r>
      <w:r w:rsidR="00325559">
        <w:rPr>
          <w:rFonts w:ascii="Arial" w:eastAsia="Times New Roman" w:hAnsi="Arial" w:cs="Arial"/>
          <w:bCs/>
          <w:lang w:val="en-GB"/>
        </w:rPr>
        <w:t>faces a disciplinary charge relating to convictions under the Harmful Digital Communications Act 2015</w:t>
      </w:r>
      <w:r w:rsidR="009417F6">
        <w:rPr>
          <w:rFonts w:ascii="Arial" w:eastAsia="Times New Roman" w:hAnsi="Arial" w:cs="Arial"/>
          <w:bCs/>
          <w:lang w:val="en-GB"/>
        </w:rPr>
        <w:t xml:space="preserve"> </w:t>
      </w:r>
      <w:r w:rsidR="00EF713E">
        <w:rPr>
          <w:rFonts w:ascii="Arial" w:eastAsia="Times New Roman" w:hAnsi="Arial" w:cs="Arial"/>
          <w:bCs/>
          <w:lang w:val="en-GB"/>
        </w:rPr>
        <w:t xml:space="preserve">(HDC Act 2015) </w:t>
      </w:r>
      <w:r w:rsidR="009417F6">
        <w:rPr>
          <w:rFonts w:ascii="Arial" w:eastAsia="Times New Roman" w:hAnsi="Arial" w:cs="Arial"/>
          <w:bCs/>
          <w:lang w:val="en-GB"/>
        </w:rPr>
        <w:t>for content posted on social media about two of her former colleagues</w:t>
      </w:r>
      <w:r w:rsidR="000E0780">
        <w:rPr>
          <w:rFonts w:ascii="Arial" w:eastAsia="Times New Roman" w:hAnsi="Arial" w:cs="Arial"/>
          <w:bCs/>
          <w:lang w:val="en-GB"/>
        </w:rPr>
        <w:t xml:space="preserve"> in 2021</w:t>
      </w:r>
      <w:r w:rsidR="00325559">
        <w:rPr>
          <w:rFonts w:ascii="Arial" w:eastAsia="Times New Roman" w:hAnsi="Arial" w:cs="Arial"/>
          <w:bCs/>
          <w:lang w:val="en-GB"/>
        </w:rPr>
        <w:t>. The respondent is no longer practising as a social worker and nor is she registered with the Board but was at the relevant time.</w:t>
      </w:r>
    </w:p>
    <w:p w14:paraId="35790936" w14:textId="77777777" w:rsidR="00325559" w:rsidRPr="00325559" w:rsidRDefault="00325559" w:rsidP="00325559">
      <w:pPr>
        <w:pStyle w:val="ListParagraph"/>
        <w:spacing w:after="240" w:line="360" w:lineRule="auto"/>
        <w:jc w:val="both"/>
        <w:rPr>
          <w:rFonts w:ascii="Arial" w:eastAsia="Times New Roman" w:hAnsi="Arial" w:cs="Arial"/>
          <w:b/>
          <w:lang w:val="en-GB"/>
        </w:rPr>
      </w:pPr>
    </w:p>
    <w:p w14:paraId="755F3179" w14:textId="7FE0478B" w:rsidR="00591BB7" w:rsidRDefault="00325559" w:rsidP="00591BB7">
      <w:pPr>
        <w:pStyle w:val="ListParagraph"/>
        <w:numPr>
          <w:ilvl w:val="0"/>
          <w:numId w:val="18"/>
        </w:numPr>
        <w:spacing w:after="240" w:line="360" w:lineRule="auto"/>
        <w:jc w:val="both"/>
        <w:rPr>
          <w:rFonts w:ascii="Arial" w:hAnsi="Arial" w:cs="Arial"/>
        </w:rPr>
      </w:pPr>
      <w:r>
        <w:rPr>
          <w:rFonts w:ascii="Arial" w:eastAsia="Times New Roman" w:hAnsi="Arial" w:cs="Arial"/>
          <w:bCs/>
          <w:lang w:val="en-GB"/>
        </w:rPr>
        <w:t xml:space="preserve">The respondent is the subject of a previous finding of this </w:t>
      </w:r>
      <w:r w:rsidR="003B0380">
        <w:rPr>
          <w:rFonts w:ascii="Arial" w:eastAsia="Times New Roman" w:hAnsi="Arial" w:cs="Arial"/>
          <w:bCs/>
          <w:lang w:val="en-GB"/>
        </w:rPr>
        <w:t>t</w:t>
      </w:r>
      <w:r>
        <w:rPr>
          <w:rFonts w:ascii="Arial" w:eastAsia="Times New Roman" w:hAnsi="Arial" w:cs="Arial"/>
          <w:bCs/>
          <w:lang w:val="en-GB"/>
        </w:rPr>
        <w:t>ribunal in relation to a charge</w:t>
      </w:r>
      <w:r w:rsidR="00936445">
        <w:rPr>
          <w:rFonts w:ascii="Arial" w:eastAsia="Times New Roman" w:hAnsi="Arial" w:cs="Arial"/>
          <w:bCs/>
          <w:lang w:val="en-GB"/>
        </w:rPr>
        <w:t xml:space="preserve"> that included similar allegations</w:t>
      </w:r>
      <w:r>
        <w:rPr>
          <w:rFonts w:ascii="Arial" w:eastAsia="Times New Roman" w:hAnsi="Arial" w:cs="Arial"/>
          <w:bCs/>
          <w:lang w:val="en-GB"/>
        </w:rPr>
        <w:t>.</w:t>
      </w:r>
      <w:r w:rsidR="009417F6">
        <w:rPr>
          <w:rStyle w:val="FootnoteReference"/>
          <w:rFonts w:ascii="Arial" w:eastAsia="Times New Roman" w:hAnsi="Arial" w:cs="Arial"/>
          <w:bCs/>
          <w:lang w:val="en-GB"/>
        </w:rPr>
        <w:footnoteReference w:id="2"/>
      </w:r>
      <w:r w:rsidR="00591BB7">
        <w:rPr>
          <w:rFonts w:ascii="Arial" w:eastAsia="Times New Roman" w:hAnsi="Arial" w:cs="Arial"/>
          <w:bCs/>
          <w:lang w:val="en-GB"/>
        </w:rPr>
        <w:t xml:space="preserve"> </w:t>
      </w:r>
      <w:r w:rsidR="00591BB7">
        <w:rPr>
          <w:rFonts w:ascii="Arial" w:hAnsi="Arial" w:cs="Arial"/>
        </w:rPr>
        <w:t xml:space="preserve">The parties were notified of the </w:t>
      </w:r>
      <w:r w:rsidR="000E0780">
        <w:rPr>
          <w:rFonts w:ascii="Arial" w:hAnsi="Arial" w:cs="Arial"/>
        </w:rPr>
        <w:t>likelihood of</w:t>
      </w:r>
      <w:r w:rsidR="00591BB7">
        <w:rPr>
          <w:rFonts w:ascii="Arial" w:hAnsi="Arial" w:cs="Arial"/>
        </w:rPr>
        <w:t xml:space="preserve"> some crossover in the </w:t>
      </w:r>
      <w:r w:rsidR="000E0780">
        <w:rPr>
          <w:rFonts w:ascii="Arial" w:hAnsi="Arial" w:cs="Arial"/>
        </w:rPr>
        <w:t>t</w:t>
      </w:r>
      <w:r w:rsidR="00591BB7">
        <w:rPr>
          <w:rFonts w:ascii="Arial" w:hAnsi="Arial" w:cs="Arial"/>
        </w:rPr>
        <w:t>ribunal</w:t>
      </w:r>
      <w:r w:rsidR="000E0780">
        <w:rPr>
          <w:rFonts w:ascii="Arial" w:hAnsi="Arial" w:cs="Arial"/>
        </w:rPr>
        <w:t xml:space="preserve"> composition</w:t>
      </w:r>
      <w:r w:rsidR="00591BB7">
        <w:rPr>
          <w:rFonts w:ascii="Arial" w:hAnsi="Arial" w:cs="Arial"/>
        </w:rPr>
        <w:t xml:space="preserve"> from the first matter, due to the limited number of members currently appointed and available. No objection was raised by either party.</w:t>
      </w:r>
    </w:p>
    <w:p w14:paraId="69535F37" w14:textId="77777777" w:rsidR="00325559" w:rsidRPr="00325559" w:rsidRDefault="00325559" w:rsidP="00325559">
      <w:pPr>
        <w:pStyle w:val="ListParagraph"/>
        <w:spacing w:after="240" w:line="360" w:lineRule="auto"/>
        <w:jc w:val="both"/>
        <w:rPr>
          <w:rFonts w:ascii="Arial" w:eastAsia="Times New Roman" w:hAnsi="Arial" w:cs="Arial"/>
          <w:b/>
          <w:lang w:val="en-GB"/>
        </w:rPr>
      </w:pPr>
    </w:p>
    <w:p w14:paraId="66D83E8E" w14:textId="5373818F" w:rsidR="00325559" w:rsidRPr="00325559" w:rsidRDefault="00325559" w:rsidP="00325559">
      <w:pPr>
        <w:pStyle w:val="ListParagraph"/>
        <w:numPr>
          <w:ilvl w:val="0"/>
          <w:numId w:val="18"/>
        </w:numPr>
        <w:spacing w:after="240" w:line="360" w:lineRule="auto"/>
        <w:jc w:val="both"/>
        <w:rPr>
          <w:rFonts w:ascii="Arial" w:eastAsia="Times New Roman" w:hAnsi="Arial" w:cs="Arial"/>
          <w:b/>
          <w:lang w:val="en-GB"/>
        </w:rPr>
      </w:pPr>
      <w:r>
        <w:rPr>
          <w:rFonts w:ascii="Arial" w:eastAsia="Times New Roman" w:hAnsi="Arial" w:cs="Arial"/>
          <w:bCs/>
          <w:lang w:val="en-GB"/>
        </w:rPr>
        <w:t xml:space="preserve">This matter proceeded on the basis of an Agreed Summary of Facts, at a hearing conducted by audio-visual link on </w:t>
      </w:r>
      <w:r w:rsidR="00936445">
        <w:rPr>
          <w:rFonts w:ascii="Arial" w:eastAsia="Times New Roman" w:hAnsi="Arial" w:cs="Arial"/>
          <w:bCs/>
          <w:lang w:val="en-GB"/>
        </w:rPr>
        <w:t>7 February 2024</w:t>
      </w:r>
      <w:r>
        <w:rPr>
          <w:rFonts w:ascii="Arial" w:eastAsia="Times New Roman" w:hAnsi="Arial" w:cs="Arial"/>
          <w:bCs/>
          <w:lang w:val="en-GB"/>
        </w:rPr>
        <w:t>.</w:t>
      </w:r>
      <w:r w:rsidR="00CC2FEC">
        <w:rPr>
          <w:rFonts w:ascii="Arial" w:eastAsia="Times New Roman" w:hAnsi="Arial" w:cs="Arial"/>
          <w:bCs/>
          <w:lang w:val="en-GB"/>
        </w:rPr>
        <w:t xml:space="preserve"> After deliberating, the </w:t>
      </w:r>
      <w:r w:rsidR="002A5B32">
        <w:rPr>
          <w:rFonts w:ascii="Arial" w:eastAsia="Times New Roman" w:hAnsi="Arial" w:cs="Arial"/>
          <w:bCs/>
          <w:lang w:val="en-GB"/>
        </w:rPr>
        <w:t>T</w:t>
      </w:r>
      <w:r w:rsidR="00CC2FEC">
        <w:rPr>
          <w:rFonts w:ascii="Arial" w:eastAsia="Times New Roman" w:hAnsi="Arial" w:cs="Arial"/>
          <w:bCs/>
          <w:lang w:val="en-GB"/>
        </w:rPr>
        <w:t>ribunal gave an</w:t>
      </w:r>
      <w:r w:rsidR="000E0780">
        <w:rPr>
          <w:rFonts w:ascii="Arial" w:eastAsia="Times New Roman" w:hAnsi="Arial" w:cs="Arial"/>
          <w:bCs/>
          <w:lang w:val="en-GB"/>
        </w:rPr>
        <w:t xml:space="preserve"> oral</w:t>
      </w:r>
      <w:r w:rsidR="00CC2FEC">
        <w:rPr>
          <w:rFonts w:ascii="Arial" w:eastAsia="Times New Roman" w:hAnsi="Arial" w:cs="Arial"/>
          <w:bCs/>
          <w:lang w:val="en-GB"/>
        </w:rPr>
        <w:t xml:space="preserve"> indication of our findings that (but for the previous proceeding) we would have ordered censure and cancellation; </w:t>
      </w:r>
      <w:r w:rsidR="000E0780">
        <w:rPr>
          <w:rFonts w:ascii="Arial" w:eastAsia="Times New Roman" w:hAnsi="Arial" w:cs="Arial"/>
          <w:bCs/>
          <w:lang w:val="en-GB"/>
        </w:rPr>
        <w:t>and</w:t>
      </w:r>
      <w:r w:rsidR="00CC2FEC">
        <w:rPr>
          <w:rFonts w:ascii="Arial" w:eastAsia="Times New Roman" w:hAnsi="Arial" w:cs="Arial"/>
          <w:bCs/>
          <w:lang w:val="en-GB"/>
        </w:rPr>
        <w:t xml:space="preserve"> that permanent non-publication orders would be made. We now set out the reason for these findings.</w:t>
      </w:r>
    </w:p>
    <w:p w14:paraId="61E4D761" w14:textId="77777777" w:rsidR="00325559" w:rsidRPr="00325559" w:rsidRDefault="00325559" w:rsidP="00325559">
      <w:pPr>
        <w:pStyle w:val="ListParagraph"/>
        <w:rPr>
          <w:rFonts w:ascii="Arial" w:eastAsia="Times New Roman" w:hAnsi="Arial" w:cs="Arial"/>
          <w:b/>
          <w:lang w:val="en-GB"/>
        </w:rPr>
      </w:pPr>
    </w:p>
    <w:p w14:paraId="6FA32C3B" w14:textId="12622888" w:rsidR="00325559" w:rsidRPr="00325559" w:rsidRDefault="00325559" w:rsidP="00325559">
      <w:pPr>
        <w:pStyle w:val="ListParagraph"/>
        <w:spacing w:after="240" w:line="360" w:lineRule="auto"/>
        <w:jc w:val="both"/>
        <w:rPr>
          <w:rFonts w:ascii="Arial" w:eastAsia="Times New Roman" w:hAnsi="Arial" w:cs="Arial"/>
          <w:b/>
          <w:lang w:val="en-GB"/>
        </w:rPr>
      </w:pPr>
      <w:r>
        <w:rPr>
          <w:rFonts w:ascii="Arial" w:eastAsia="Times New Roman" w:hAnsi="Arial" w:cs="Arial"/>
          <w:b/>
          <w:lang w:val="en-GB"/>
        </w:rPr>
        <w:t>The Charge</w:t>
      </w:r>
    </w:p>
    <w:p w14:paraId="10E4B344" w14:textId="77777777" w:rsidR="00325559" w:rsidRPr="00325559" w:rsidRDefault="00325559" w:rsidP="00325559">
      <w:pPr>
        <w:pStyle w:val="ListParagraph"/>
        <w:rPr>
          <w:rFonts w:ascii="Arial" w:eastAsia="Times New Roman" w:hAnsi="Arial" w:cs="Arial"/>
          <w:bCs/>
          <w:lang w:val="en-GB"/>
        </w:rPr>
      </w:pPr>
    </w:p>
    <w:p w14:paraId="2BF9F937" w14:textId="0AC6CD94" w:rsidR="009417F6" w:rsidRPr="009417F6" w:rsidRDefault="009417F6" w:rsidP="00325559">
      <w:pPr>
        <w:pStyle w:val="ListParagraph"/>
        <w:numPr>
          <w:ilvl w:val="0"/>
          <w:numId w:val="18"/>
        </w:numPr>
        <w:spacing w:after="240" w:line="360" w:lineRule="auto"/>
        <w:jc w:val="both"/>
        <w:rPr>
          <w:rFonts w:ascii="Arial" w:eastAsia="Times New Roman" w:hAnsi="Arial" w:cs="Arial"/>
          <w:b/>
          <w:lang w:val="en-GB"/>
        </w:rPr>
      </w:pPr>
      <w:r>
        <w:rPr>
          <w:rFonts w:ascii="Arial" w:eastAsia="Times New Roman" w:hAnsi="Arial" w:cs="Arial"/>
          <w:bCs/>
          <w:lang w:val="en-GB"/>
        </w:rPr>
        <w:t>T</w:t>
      </w:r>
      <w:r w:rsidR="005D3A88" w:rsidRPr="00325559">
        <w:rPr>
          <w:rFonts w:ascii="Arial" w:eastAsia="Times New Roman" w:hAnsi="Arial" w:cs="Arial"/>
          <w:bCs/>
          <w:lang w:val="en-GB"/>
        </w:rPr>
        <w:t xml:space="preserve">he </w:t>
      </w:r>
      <w:r>
        <w:rPr>
          <w:rFonts w:ascii="Arial" w:eastAsia="Times New Roman" w:hAnsi="Arial" w:cs="Arial"/>
          <w:bCs/>
          <w:lang w:val="en-GB"/>
        </w:rPr>
        <w:t>charge is dated 13 September 2023</w:t>
      </w:r>
      <w:r w:rsidR="00A065F6">
        <w:rPr>
          <w:rFonts w:ascii="Arial" w:eastAsia="Times New Roman" w:hAnsi="Arial" w:cs="Arial"/>
          <w:bCs/>
          <w:lang w:val="en-GB"/>
        </w:rPr>
        <w:t xml:space="preserve"> and laid pursuant to s</w:t>
      </w:r>
      <w:r w:rsidR="00EF713E">
        <w:rPr>
          <w:rFonts w:ascii="Arial" w:eastAsia="Times New Roman" w:hAnsi="Arial" w:cs="Arial"/>
          <w:bCs/>
          <w:lang w:val="en-GB"/>
        </w:rPr>
        <w:t>75</w:t>
      </w:r>
      <w:r w:rsidR="00A065F6">
        <w:rPr>
          <w:rFonts w:ascii="Arial" w:eastAsia="Times New Roman" w:hAnsi="Arial" w:cs="Arial"/>
          <w:bCs/>
          <w:lang w:val="en-GB"/>
        </w:rPr>
        <w:t xml:space="preserve"> of the Social Workers Registration Act 2003 (the Act)</w:t>
      </w:r>
      <w:r>
        <w:rPr>
          <w:rFonts w:ascii="Arial" w:eastAsia="Times New Roman" w:hAnsi="Arial" w:cs="Arial"/>
          <w:bCs/>
          <w:lang w:val="en-GB"/>
        </w:rPr>
        <w:t>. The particulars of the charge read:</w:t>
      </w:r>
    </w:p>
    <w:p w14:paraId="486FD222" w14:textId="77777777" w:rsidR="009417F6" w:rsidRDefault="009417F6" w:rsidP="009417F6">
      <w:pPr>
        <w:pStyle w:val="ListParagraph"/>
        <w:spacing w:after="240" w:line="360" w:lineRule="auto"/>
        <w:jc w:val="both"/>
        <w:rPr>
          <w:rFonts w:ascii="Arial" w:eastAsia="Times New Roman" w:hAnsi="Arial" w:cs="Arial"/>
          <w:bCs/>
          <w:lang w:val="en-GB"/>
        </w:rPr>
      </w:pPr>
    </w:p>
    <w:p w14:paraId="2134E205" w14:textId="099BA36D" w:rsidR="009417F6" w:rsidRPr="00CC2FEC" w:rsidRDefault="009417F6" w:rsidP="009417F6">
      <w:pPr>
        <w:pStyle w:val="ListParagraph"/>
        <w:numPr>
          <w:ilvl w:val="0"/>
          <w:numId w:val="20"/>
        </w:numPr>
        <w:spacing w:after="240" w:line="360" w:lineRule="auto"/>
        <w:jc w:val="both"/>
        <w:rPr>
          <w:rFonts w:ascii="Arial" w:eastAsia="Times New Roman" w:hAnsi="Arial" w:cs="Arial"/>
          <w:bCs/>
          <w:sz w:val="20"/>
          <w:szCs w:val="20"/>
          <w:lang w:val="en-GB"/>
        </w:rPr>
      </w:pPr>
      <w:r w:rsidRPr="00CC2FEC">
        <w:rPr>
          <w:rFonts w:ascii="Arial" w:eastAsia="Times New Roman" w:hAnsi="Arial" w:cs="Arial"/>
          <w:bCs/>
          <w:sz w:val="20"/>
          <w:szCs w:val="20"/>
          <w:lang w:val="en-GB"/>
        </w:rPr>
        <w:t xml:space="preserve">That on </w:t>
      </w:r>
      <w:r w:rsidR="00D61414">
        <w:rPr>
          <w:rFonts w:ascii="Arial" w:eastAsia="Times New Roman" w:hAnsi="Arial" w:cs="Arial"/>
          <w:bCs/>
          <w:sz w:val="20"/>
          <w:szCs w:val="20"/>
          <w:lang w:val="en-GB"/>
        </w:rPr>
        <w:t>[date]</w:t>
      </w:r>
      <w:r w:rsidRPr="00CC2FEC">
        <w:rPr>
          <w:rFonts w:ascii="Arial" w:eastAsia="Times New Roman" w:hAnsi="Arial" w:cs="Arial"/>
          <w:bCs/>
          <w:sz w:val="20"/>
          <w:szCs w:val="20"/>
          <w:lang w:val="en-GB"/>
        </w:rPr>
        <w:t xml:space="preserve">,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 xml:space="preserve"> was convicted at the </w:t>
      </w:r>
      <w:r w:rsidR="00581C08">
        <w:rPr>
          <w:rFonts w:ascii="Arial" w:eastAsia="Times New Roman" w:hAnsi="Arial" w:cs="Arial"/>
          <w:bCs/>
          <w:sz w:val="20"/>
          <w:szCs w:val="20"/>
          <w:lang w:val="en-GB"/>
        </w:rPr>
        <w:t>[City]</w:t>
      </w:r>
      <w:r w:rsidRPr="00CC2FEC">
        <w:rPr>
          <w:rFonts w:ascii="Arial" w:eastAsia="Times New Roman" w:hAnsi="Arial" w:cs="Arial"/>
          <w:bCs/>
          <w:sz w:val="20"/>
          <w:szCs w:val="20"/>
          <w:lang w:val="en-GB"/>
        </w:rPr>
        <w:t xml:space="preserve"> District Court of two offences of causing harm by posting digital communications against section 22 of the Harmful Digital Communications Act 2015 (causing harm by posting digital communication), each offence being punishable by a term of imprisonment of 3 months or longer, in that:</w:t>
      </w:r>
    </w:p>
    <w:p w14:paraId="62BFA3B8" w14:textId="022C8CAF" w:rsidR="009417F6" w:rsidRPr="00CC2FEC" w:rsidRDefault="009417F6" w:rsidP="009417F6">
      <w:pPr>
        <w:pStyle w:val="ListParagraph"/>
        <w:numPr>
          <w:ilvl w:val="1"/>
          <w:numId w:val="20"/>
        </w:numPr>
        <w:spacing w:after="240" w:line="360" w:lineRule="auto"/>
        <w:jc w:val="both"/>
        <w:rPr>
          <w:rFonts w:ascii="Arial" w:eastAsia="Times New Roman" w:hAnsi="Arial" w:cs="Arial"/>
          <w:bCs/>
          <w:sz w:val="20"/>
          <w:szCs w:val="20"/>
          <w:lang w:val="en-GB"/>
        </w:rPr>
      </w:pPr>
      <w:r w:rsidRPr="00CC2FEC">
        <w:rPr>
          <w:rFonts w:ascii="Arial" w:eastAsia="Times New Roman" w:hAnsi="Arial" w:cs="Arial"/>
          <w:bCs/>
          <w:sz w:val="20"/>
          <w:szCs w:val="20"/>
          <w:lang w:val="en-GB"/>
        </w:rPr>
        <w:t xml:space="preserve">On </w:t>
      </w:r>
      <w:r w:rsidR="00982750">
        <w:rPr>
          <w:rFonts w:ascii="Arial" w:eastAsia="Times New Roman" w:hAnsi="Arial" w:cs="Arial"/>
          <w:bCs/>
          <w:sz w:val="20"/>
          <w:szCs w:val="20"/>
          <w:lang w:val="en-GB"/>
        </w:rPr>
        <w:t>[date]</w:t>
      </w:r>
      <w:r w:rsidRPr="00CC2FEC">
        <w:rPr>
          <w:rFonts w:ascii="Arial" w:eastAsia="Times New Roman" w:hAnsi="Arial" w:cs="Arial"/>
          <w:bCs/>
          <w:sz w:val="20"/>
          <w:szCs w:val="20"/>
          <w:lang w:val="en-GB"/>
        </w:rPr>
        <w:t xml:space="preserve">,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 xml:space="preserve"> engaged in conduct that was threatening and/or harassing towards Ms F, a former colleague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 xml:space="preserve"> had worked with during </w:t>
      </w:r>
      <w:r w:rsidR="00982750">
        <w:rPr>
          <w:rFonts w:ascii="Arial" w:eastAsia="Times New Roman" w:hAnsi="Arial" w:cs="Arial"/>
          <w:bCs/>
          <w:sz w:val="20"/>
          <w:szCs w:val="20"/>
          <w:lang w:val="en-GB"/>
        </w:rPr>
        <w:t>[year]</w:t>
      </w:r>
      <w:r w:rsidRPr="00CC2FEC">
        <w:rPr>
          <w:rFonts w:ascii="Arial" w:eastAsia="Times New Roman" w:hAnsi="Arial" w:cs="Arial"/>
          <w:bCs/>
          <w:sz w:val="20"/>
          <w:szCs w:val="20"/>
          <w:lang w:val="en-GB"/>
        </w:rPr>
        <w:t xml:space="preserve"> and </w:t>
      </w:r>
      <w:r w:rsidR="00982750">
        <w:rPr>
          <w:rFonts w:ascii="Arial" w:eastAsia="Times New Roman" w:hAnsi="Arial" w:cs="Arial"/>
          <w:bCs/>
          <w:sz w:val="20"/>
          <w:szCs w:val="20"/>
          <w:lang w:val="en-GB"/>
        </w:rPr>
        <w:t>[year]</w:t>
      </w:r>
      <w:r w:rsidRPr="00CC2FEC">
        <w:rPr>
          <w:rFonts w:ascii="Arial" w:eastAsia="Times New Roman" w:hAnsi="Arial" w:cs="Arial"/>
          <w:bCs/>
          <w:sz w:val="20"/>
          <w:szCs w:val="20"/>
          <w:lang w:val="en-GB"/>
        </w:rPr>
        <w:t xml:space="preserve">, namely by sending 10 direct messages to Ms F on social media from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’s social media profile.</w:t>
      </w:r>
    </w:p>
    <w:p w14:paraId="7CA72F1A" w14:textId="2506B484" w:rsidR="009417F6" w:rsidRPr="00CC2FEC" w:rsidRDefault="009417F6" w:rsidP="009417F6">
      <w:pPr>
        <w:pStyle w:val="ListParagraph"/>
        <w:numPr>
          <w:ilvl w:val="1"/>
          <w:numId w:val="20"/>
        </w:numPr>
        <w:spacing w:after="240" w:line="360" w:lineRule="auto"/>
        <w:jc w:val="both"/>
        <w:rPr>
          <w:rFonts w:ascii="Arial" w:eastAsia="Times New Roman" w:hAnsi="Arial" w:cs="Arial"/>
          <w:bCs/>
          <w:sz w:val="20"/>
          <w:szCs w:val="20"/>
          <w:lang w:val="en-GB"/>
        </w:rPr>
      </w:pPr>
      <w:r w:rsidRPr="00CC2FEC">
        <w:rPr>
          <w:rFonts w:ascii="Arial" w:eastAsia="Times New Roman" w:hAnsi="Arial" w:cs="Arial"/>
          <w:bCs/>
          <w:sz w:val="20"/>
          <w:szCs w:val="20"/>
          <w:lang w:val="en-GB"/>
        </w:rPr>
        <w:t xml:space="preserve">Between </w:t>
      </w:r>
      <w:r w:rsidR="00982750">
        <w:rPr>
          <w:rFonts w:ascii="Arial" w:eastAsia="Times New Roman" w:hAnsi="Arial" w:cs="Arial"/>
          <w:bCs/>
          <w:sz w:val="20"/>
          <w:szCs w:val="20"/>
          <w:lang w:val="en-GB"/>
        </w:rPr>
        <w:t>[date]</w:t>
      </w:r>
      <w:r w:rsidRPr="00CC2FEC">
        <w:rPr>
          <w:rFonts w:ascii="Arial" w:eastAsia="Times New Roman" w:hAnsi="Arial" w:cs="Arial"/>
          <w:bCs/>
          <w:sz w:val="20"/>
          <w:szCs w:val="20"/>
          <w:lang w:val="en-GB"/>
        </w:rPr>
        <w:t xml:space="preserve"> and </w:t>
      </w:r>
      <w:r w:rsidR="00982750">
        <w:rPr>
          <w:rFonts w:ascii="Arial" w:eastAsia="Times New Roman" w:hAnsi="Arial" w:cs="Arial"/>
          <w:bCs/>
          <w:sz w:val="20"/>
          <w:szCs w:val="20"/>
          <w:lang w:val="en-GB"/>
        </w:rPr>
        <w:t>[date]</w:t>
      </w:r>
      <w:r w:rsidRPr="00CC2FEC">
        <w:rPr>
          <w:rFonts w:ascii="Arial" w:eastAsia="Times New Roman" w:hAnsi="Arial" w:cs="Arial"/>
          <w:bCs/>
          <w:sz w:val="20"/>
          <w:szCs w:val="20"/>
          <w:lang w:val="en-GB"/>
        </w:rPr>
        <w:t xml:space="preserve">,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 xml:space="preserve"> engaged in conduct that was threatening and/or harassing towards Ms R, a former colleague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 xml:space="preserve"> had worked with during </w:t>
      </w:r>
      <w:r w:rsidR="00932647">
        <w:rPr>
          <w:rFonts w:ascii="Arial" w:eastAsia="Times New Roman" w:hAnsi="Arial" w:cs="Arial"/>
          <w:bCs/>
          <w:sz w:val="20"/>
          <w:szCs w:val="20"/>
          <w:lang w:val="en-GB"/>
        </w:rPr>
        <w:t>[year]</w:t>
      </w:r>
      <w:r w:rsidRPr="00CC2FEC">
        <w:rPr>
          <w:rFonts w:ascii="Arial" w:eastAsia="Times New Roman" w:hAnsi="Arial" w:cs="Arial"/>
          <w:bCs/>
          <w:sz w:val="20"/>
          <w:szCs w:val="20"/>
          <w:lang w:val="en-GB"/>
        </w:rPr>
        <w:t xml:space="preserve"> and </w:t>
      </w:r>
      <w:r w:rsidR="00932647">
        <w:rPr>
          <w:rFonts w:ascii="Arial" w:eastAsia="Times New Roman" w:hAnsi="Arial" w:cs="Arial"/>
          <w:bCs/>
          <w:sz w:val="20"/>
          <w:szCs w:val="20"/>
          <w:lang w:val="en-GB"/>
        </w:rPr>
        <w:t>[year]</w:t>
      </w:r>
      <w:r w:rsidRPr="00CC2FEC">
        <w:rPr>
          <w:rFonts w:ascii="Arial" w:eastAsia="Times New Roman" w:hAnsi="Arial" w:cs="Arial"/>
          <w:bCs/>
          <w:sz w:val="20"/>
          <w:szCs w:val="20"/>
          <w:lang w:val="en-GB"/>
        </w:rPr>
        <w:t>, namely by:</w:t>
      </w:r>
    </w:p>
    <w:p w14:paraId="47DB9D1D" w14:textId="20F92D88" w:rsidR="009417F6" w:rsidRPr="00CC2FEC" w:rsidRDefault="009417F6" w:rsidP="009417F6">
      <w:pPr>
        <w:pStyle w:val="ListParagraph"/>
        <w:numPr>
          <w:ilvl w:val="2"/>
          <w:numId w:val="20"/>
        </w:numPr>
        <w:spacing w:after="240" w:line="360" w:lineRule="auto"/>
        <w:jc w:val="both"/>
        <w:rPr>
          <w:rFonts w:ascii="Arial" w:eastAsia="Times New Roman" w:hAnsi="Arial" w:cs="Arial"/>
          <w:bCs/>
          <w:sz w:val="20"/>
          <w:szCs w:val="20"/>
          <w:lang w:val="en-GB"/>
        </w:rPr>
      </w:pPr>
      <w:r w:rsidRPr="00CC2FEC">
        <w:rPr>
          <w:rFonts w:ascii="Arial" w:eastAsia="Times New Roman" w:hAnsi="Arial" w:cs="Arial"/>
          <w:bCs/>
          <w:sz w:val="20"/>
          <w:szCs w:val="20"/>
          <w:lang w:val="en-GB"/>
        </w:rPr>
        <w:t>Sending 20 direct messages to Ms R on social media using a fictitious account; and</w:t>
      </w:r>
    </w:p>
    <w:p w14:paraId="4DF0F2CA" w14:textId="202E9AAF" w:rsidR="009417F6" w:rsidRPr="00CC2FEC" w:rsidRDefault="009417F6" w:rsidP="009417F6">
      <w:pPr>
        <w:pStyle w:val="ListParagraph"/>
        <w:numPr>
          <w:ilvl w:val="0"/>
          <w:numId w:val="20"/>
        </w:numPr>
        <w:spacing w:after="240" w:line="360" w:lineRule="auto"/>
        <w:jc w:val="both"/>
        <w:rPr>
          <w:rFonts w:ascii="Arial" w:eastAsia="Times New Roman" w:hAnsi="Arial" w:cs="Arial"/>
          <w:bCs/>
          <w:sz w:val="20"/>
          <w:szCs w:val="20"/>
          <w:lang w:val="en-GB"/>
        </w:rPr>
      </w:pPr>
      <w:r w:rsidRPr="00CC2FEC">
        <w:rPr>
          <w:rFonts w:ascii="Arial" w:eastAsia="Times New Roman" w:hAnsi="Arial" w:cs="Arial"/>
          <w:bCs/>
          <w:sz w:val="20"/>
          <w:szCs w:val="20"/>
          <w:lang w:val="en-GB"/>
        </w:rPr>
        <w:lastRenderedPageBreak/>
        <w:t xml:space="preserve">The offences were committed in circumstances that either separately or cumulatively, reflect adversely on Ms </w:t>
      </w:r>
      <w:r w:rsidR="004835C6">
        <w:rPr>
          <w:rFonts w:ascii="Arial" w:eastAsia="Times New Roman" w:hAnsi="Arial" w:cs="Arial"/>
          <w:bCs/>
          <w:sz w:val="20"/>
          <w:szCs w:val="20"/>
          <w:lang w:val="en-GB"/>
        </w:rPr>
        <w:t>[H]</w:t>
      </w:r>
      <w:r w:rsidRPr="00CC2FEC">
        <w:rPr>
          <w:rFonts w:ascii="Arial" w:eastAsia="Times New Roman" w:hAnsi="Arial" w:cs="Arial"/>
          <w:bCs/>
          <w:sz w:val="20"/>
          <w:szCs w:val="20"/>
          <w:lang w:val="en-GB"/>
        </w:rPr>
        <w:t>’s fitness to practise as a social worker.</w:t>
      </w:r>
    </w:p>
    <w:p w14:paraId="262DE550" w14:textId="3F04ACD0" w:rsidR="00DE2489" w:rsidRPr="00325559" w:rsidRDefault="009417F6" w:rsidP="00936445">
      <w:pPr>
        <w:spacing w:after="240" w:line="360" w:lineRule="auto"/>
        <w:ind w:firstLine="720"/>
        <w:jc w:val="both"/>
        <w:rPr>
          <w:rFonts w:ascii="Arial" w:eastAsia="Times New Roman" w:hAnsi="Arial" w:cs="Arial"/>
          <w:b/>
          <w:lang w:val="en-GB"/>
        </w:rPr>
      </w:pPr>
      <w:r>
        <w:rPr>
          <w:rFonts w:ascii="Arial" w:eastAsia="Times New Roman" w:hAnsi="Arial" w:cs="Arial"/>
          <w:b/>
          <w:lang w:val="en-GB"/>
        </w:rPr>
        <w:t>The Agreed Summary of Facts</w:t>
      </w:r>
    </w:p>
    <w:p w14:paraId="2E6EA0F8" w14:textId="606C008B" w:rsidR="00A3515F" w:rsidRDefault="009417F6" w:rsidP="009417F6">
      <w:pPr>
        <w:pStyle w:val="ListParagraph"/>
        <w:numPr>
          <w:ilvl w:val="0"/>
          <w:numId w:val="18"/>
        </w:numPr>
        <w:spacing w:after="240" w:line="360" w:lineRule="auto"/>
        <w:jc w:val="both"/>
        <w:rPr>
          <w:rFonts w:ascii="Arial" w:hAnsi="Arial" w:cs="Arial"/>
        </w:rPr>
      </w:pPr>
      <w:r>
        <w:rPr>
          <w:rFonts w:ascii="Arial" w:hAnsi="Arial" w:cs="Arial"/>
        </w:rPr>
        <w:t xml:space="preserve">An </w:t>
      </w:r>
      <w:r w:rsidR="00936445">
        <w:rPr>
          <w:rFonts w:ascii="Arial" w:hAnsi="Arial" w:cs="Arial"/>
        </w:rPr>
        <w:t xml:space="preserve">undated </w:t>
      </w:r>
      <w:r>
        <w:rPr>
          <w:rFonts w:ascii="Arial" w:hAnsi="Arial" w:cs="Arial"/>
        </w:rPr>
        <w:t xml:space="preserve">Agreed Summary of Facts </w:t>
      </w:r>
      <w:r w:rsidR="00936445">
        <w:rPr>
          <w:rFonts w:ascii="Arial" w:hAnsi="Arial" w:cs="Arial"/>
        </w:rPr>
        <w:t xml:space="preserve">(the Summary of Facts) </w:t>
      </w:r>
      <w:r>
        <w:rPr>
          <w:rFonts w:ascii="Arial" w:hAnsi="Arial" w:cs="Arial"/>
        </w:rPr>
        <w:t>was signed by the respondent and the presiding member of the Professional Conduct Committee</w:t>
      </w:r>
      <w:r w:rsidR="00936445">
        <w:rPr>
          <w:rFonts w:ascii="Arial" w:hAnsi="Arial" w:cs="Arial"/>
        </w:rPr>
        <w:t xml:space="preserve"> (PCC)</w:t>
      </w:r>
      <w:r w:rsidR="00A3515F" w:rsidRPr="009417F6">
        <w:rPr>
          <w:rFonts w:ascii="Arial" w:hAnsi="Arial" w:cs="Arial"/>
        </w:rPr>
        <w:t>.</w:t>
      </w:r>
      <w:r w:rsidR="00F57828">
        <w:rPr>
          <w:rFonts w:ascii="Arial" w:hAnsi="Arial" w:cs="Arial"/>
        </w:rPr>
        <w:t xml:space="preserve"> It records that the respondent worked with the two victims</w:t>
      </w:r>
      <w:r w:rsidR="00936445">
        <w:rPr>
          <w:rFonts w:ascii="Arial" w:hAnsi="Arial" w:cs="Arial"/>
        </w:rPr>
        <w:t xml:space="preserve"> of her harassment</w:t>
      </w:r>
      <w:r w:rsidR="00F57828">
        <w:rPr>
          <w:rFonts w:ascii="Arial" w:hAnsi="Arial" w:cs="Arial"/>
        </w:rPr>
        <w:t xml:space="preserve"> identified as Ms F and Ms R, in </w:t>
      </w:r>
      <w:r w:rsidR="00932647">
        <w:rPr>
          <w:rFonts w:ascii="Arial" w:hAnsi="Arial" w:cs="Arial"/>
        </w:rPr>
        <w:t>[year]</w:t>
      </w:r>
      <w:r w:rsidR="00F57828">
        <w:rPr>
          <w:rFonts w:ascii="Arial" w:hAnsi="Arial" w:cs="Arial"/>
        </w:rPr>
        <w:t xml:space="preserve"> and </w:t>
      </w:r>
      <w:r w:rsidR="00932647">
        <w:rPr>
          <w:rFonts w:ascii="Arial" w:hAnsi="Arial" w:cs="Arial"/>
        </w:rPr>
        <w:t>[year]</w:t>
      </w:r>
      <w:r w:rsidR="00A065F6">
        <w:rPr>
          <w:rFonts w:ascii="Arial" w:hAnsi="Arial" w:cs="Arial"/>
        </w:rPr>
        <w:t>,</w:t>
      </w:r>
      <w:r w:rsidR="00F57828">
        <w:rPr>
          <w:rFonts w:ascii="Arial" w:hAnsi="Arial" w:cs="Arial"/>
        </w:rPr>
        <w:t xml:space="preserve"> in the social work department of a government organisation. The respondent used her own Facebook profile a</w:t>
      </w:r>
      <w:r w:rsidR="00936445">
        <w:rPr>
          <w:rFonts w:ascii="Arial" w:hAnsi="Arial" w:cs="Arial"/>
        </w:rPr>
        <w:t>s well as</w:t>
      </w:r>
      <w:r w:rsidR="00F57828">
        <w:rPr>
          <w:rFonts w:ascii="Arial" w:hAnsi="Arial" w:cs="Arial"/>
        </w:rPr>
        <w:t xml:space="preserve"> a false account to publish threatening and derogatory comments</w:t>
      </w:r>
      <w:r w:rsidR="00A3515F" w:rsidRPr="009417F6">
        <w:rPr>
          <w:rFonts w:ascii="Arial" w:hAnsi="Arial" w:cs="Arial"/>
        </w:rPr>
        <w:t xml:space="preserve"> </w:t>
      </w:r>
      <w:r w:rsidR="00F57828">
        <w:rPr>
          <w:rFonts w:ascii="Arial" w:hAnsi="Arial" w:cs="Arial"/>
        </w:rPr>
        <w:t>about her two former colleagues</w:t>
      </w:r>
      <w:r w:rsidR="00936445">
        <w:rPr>
          <w:rFonts w:ascii="Arial" w:hAnsi="Arial" w:cs="Arial"/>
        </w:rPr>
        <w:t>. The Summary of Facts records</w:t>
      </w:r>
      <w:r w:rsidR="00EF713E">
        <w:rPr>
          <w:rStyle w:val="FootnoteReference"/>
          <w:rFonts w:ascii="Arial" w:hAnsi="Arial" w:cs="Arial"/>
        </w:rPr>
        <w:footnoteReference w:id="3"/>
      </w:r>
      <w:r w:rsidR="00F57828">
        <w:rPr>
          <w:rFonts w:ascii="Arial" w:hAnsi="Arial" w:cs="Arial"/>
        </w:rPr>
        <w:t>:</w:t>
      </w:r>
    </w:p>
    <w:p w14:paraId="552C7DAA" w14:textId="77777777" w:rsidR="00F57828" w:rsidRDefault="00F57828" w:rsidP="00F57828">
      <w:pPr>
        <w:pStyle w:val="ListParagraph"/>
        <w:spacing w:after="240" w:line="360" w:lineRule="auto"/>
        <w:jc w:val="both"/>
        <w:rPr>
          <w:rFonts w:ascii="Arial" w:hAnsi="Arial" w:cs="Arial"/>
        </w:rPr>
      </w:pPr>
    </w:p>
    <w:p w14:paraId="23347E2B" w14:textId="10E61B60" w:rsidR="00F57828" w:rsidRPr="00CC2FEC" w:rsidRDefault="00F57828" w:rsidP="00F57828">
      <w:pPr>
        <w:pStyle w:val="ListParagraph"/>
        <w:spacing w:after="240" w:line="360" w:lineRule="auto"/>
        <w:ind w:firstLine="720"/>
        <w:jc w:val="both"/>
        <w:rPr>
          <w:rFonts w:ascii="Arial" w:hAnsi="Arial" w:cs="Arial"/>
          <w:sz w:val="20"/>
          <w:szCs w:val="20"/>
        </w:rPr>
      </w:pPr>
      <w:r w:rsidRPr="00CC2FEC">
        <w:rPr>
          <w:rFonts w:ascii="Arial" w:hAnsi="Arial" w:cs="Arial"/>
          <w:sz w:val="20"/>
          <w:szCs w:val="20"/>
        </w:rPr>
        <w:t>Victim one (Ms F)</w:t>
      </w:r>
    </w:p>
    <w:p w14:paraId="4B504E99" w14:textId="77777777" w:rsidR="00F57828" w:rsidRPr="00CC2FEC" w:rsidRDefault="00F57828" w:rsidP="00F57828">
      <w:pPr>
        <w:pStyle w:val="ListParagraph"/>
        <w:spacing w:after="240" w:line="360" w:lineRule="auto"/>
        <w:ind w:firstLine="720"/>
        <w:jc w:val="both"/>
        <w:rPr>
          <w:rFonts w:ascii="Arial" w:hAnsi="Arial" w:cs="Arial"/>
          <w:sz w:val="20"/>
          <w:szCs w:val="20"/>
        </w:rPr>
      </w:pPr>
    </w:p>
    <w:p w14:paraId="14108EF2" w14:textId="3164F370" w:rsidR="00F57828" w:rsidRPr="00CC2FEC" w:rsidRDefault="00F57828" w:rsidP="00F57828">
      <w:pPr>
        <w:pStyle w:val="ListParagraph"/>
        <w:spacing w:after="240" w:line="360" w:lineRule="auto"/>
        <w:ind w:left="1440" w:hanging="720"/>
        <w:jc w:val="both"/>
        <w:rPr>
          <w:rFonts w:ascii="Arial" w:hAnsi="Arial" w:cs="Arial"/>
          <w:sz w:val="20"/>
          <w:szCs w:val="20"/>
        </w:rPr>
      </w:pPr>
      <w:r w:rsidRPr="00CC2FEC">
        <w:rPr>
          <w:rFonts w:ascii="Arial" w:hAnsi="Arial" w:cs="Arial"/>
          <w:sz w:val="20"/>
          <w:szCs w:val="20"/>
        </w:rPr>
        <w:tab/>
        <w:t xml:space="preserve">5. On </w:t>
      </w:r>
      <w:r w:rsidR="00932647">
        <w:rPr>
          <w:rFonts w:ascii="Arial" w:hAnsi="Arial" w:cs="Arial"/>
          <w:sz w:val="20"/>
          <w:szCs w:val="20"/>
        </w:rPr>
        <w:t>[date]</w:t>
      </w:r>
      <w:r w:rsidRPr="00CC2FEC">
        <w:rPr>
          <w:rFonts w:ascii="Arial" w:hAnsi="Arial" w:cs="Arial"/>
          <w:sz w:val="20"/>
          <w:szCs w:val="20"/>
        </w:rPr>
        <w:t xml:space="preserve">, Ms </w:t>
      </w:r>
      <w:r w:rsidR="004835C6">
        <w:rPr>
          <w:rFonts w:ascii="Arial" w:hAnsi="Arial" w:cs="Arial"/>
          <w:sz w:val="20"/>
          <w:szCs w:val="20"/>
        </w:rPr>
        <w:t>[H]</w:t>
      </w:r>
      <w:r w:rsidRPr="00CC2FEC">
        <w:rPr>
          <w:rFonts w:ascii="Arial" w:hAnsi="Arial" w:cs="Arial"/>
          <w:sz w:val="20"/>
          <w:szCs w:val="20"/>
        </w:rPr>
        <w:t xml:space="preserve"> sent a Facebook message to Ms F. On </w:t>
      </w:r>
      <w:r w:rsidR="00932647">
        <w:rPr>
          <w:rFonts w:ascii="Arial" w:hAnsi="Arial" w:cs="Arial"/>
          <w:sz w:val="20"/>
          <w:szCs w:val="20"/>
        </w:rPr>
        <w:t>[date]</w:t>
      </w:r>
      <w:r w:rsidRPr="00CC2FEC">
        <w:rPr>
          <w:rFonts w:ascii="Arial" w:hAnsi="Arial" w:cs="Arial"/>
          <w:sz w:val="20"/>
          <w:szCs w:val="20"/>
        </w:rPr>
        <w:t xml:space="preserve">, Ms </w:t>
      </w:r>
      <w:r w:rsidR="004835C6">
        <w:rPr>
          <w:rFonts w:ascii="Arial" w:hAnsi="Arial" w:cs="Arial"/>
          <w:sz w:val="20"/>
          <w:szCs w:val="20"/>
        </w:rPr>
        <w:t>[H]</w:t>
      </w:r>
      <w:r w:rsidRPr="00CC2FEC">
        <w:rPr>
          <w:rFonts w:ascii="Arial" w:hAnsi="Arial" w:cs="Arial"/>
          <w:sz w:val="20"/>
          <w:szCs w:val="20"/>
        </w:rPr>
        <w:t xml:space="preserve"> sent a further 10 Facebook messages to Ms R.</w:t>
      </w:r>
    </w:p>
    <w:p w14:paraId="69B7BC6A" w14:textId="77777777" w:rsidR="00F57828" w:rsidRPr="00CC2FEC" w:rsidRDefault="00F57828" w:rsidP="00F57828">
      <w:pPr>
        <w:pStyle w:val="ListParagraph"/>
        <w:spacing w:after="240" w:line="360" w:lineRule="auto"/>
        <w:ind w:left="1440" w:hanging="720"/>
        <w:jc w:val="both"/>
        <w:rPr>
          <w:rFonts w:ascii="Arial" w:hAnsi="Arial" w:cs="Arial"/>
          <w:sz w:val="20"/>
          <w:szCs w:val="20"/>
        </w:rPr>
      </w:pPr>
    </w:p>
    <w:p w14:paraId="64734076" w14:textId="19AEE650" w:rsidR="00F57828" w:rsidRDefault="00F57828" w:rsidP="00F57828">
      <w:pPr>
        <w:pStyle w:val="ListParagraph"/>
        <w:spacing w:after="240" w:line="360" w:lineRule="auto"/>
        <w:ind w:left="1440"/>
        <w:jc w:val="both"/>
        <w:rPr>
          <w:rFonts w:ascii="Arial" w:hAnsi="Arial" w:cs="Arial"/>
          <w:sz w:val="20"/>
          <w:szCs w:val="20"/>
        </w:rPr>
      </w:pPr>
      <w:r w:rsidRPr="00CC2FEC">
        <w:rPr>
          <w:rFonts w:ascii="Arial" w:hAnsi="Arial" w:cs="Arial"/>
          <w:sz w:val="20"/>
          <w:szCs w:val="20"/>
        </w:rPr>
        <w:t>6. These messages included such content as “Enjoy your sleepless night bitch lol” and “I will continue to bad mouth you to everyone that comes into contact with you professionally and personally.”</w:t>
      </w:r>
    </w:p>
    <w:p w14:paraId="3D89588E" w14:textId="77777777" w:rsidR="00EF713E" w:rsidRPr="00CC2FEC" w:rsidRDefault="00EF713E" w:rsidP="00F57828">
      <w:pPr>
        <w:pStyle w:val="ListParagraph"/>
        <w:spacing w:after="240" w:line="360" w:lineRule="auto"/>
        <w:ind w:left="1440"/>
        <w:jc w:val="both"/>
        <w:rPr>
          <w:rFonts w:ascii="Arial" w:hAnsi="Arial" w:cs="Arial"/>
          <w:sz w:val="20"/>
          <w:szCs w:val="20"/>
        </w:rPr>
      </w:pPr>
    </w:p>
    <w:p w14:paraId="66F5AB20" w14:textId="64389679" w:rsidR="00F57828" w:rsidRDefault="00EF713E" w:rsidP="00F57828">
      <w:pPr>
        <w:pStyle w:val="ListParagraph"/>
        <w:spacing w:after="240" w:line="360" w:lineRule="auto"/>
        <w:ind w:left="1440"/>
        <w:jc w:val="both"/>
        <w:rPr>
          <w:rFonts w:ascii="Arial" w:hAnsi="Arial" w:cs="Arial"/>
          <w:sz w:val="20"/>
          <w:szCs w:val="20"/>
        </w:rPr>
      </w:pPr>
      <w:r>
        <w:rPr>
          <w:rFonts w:ascii="Arial" w:hAnsi="Arial" w:cs="Arial"/>
          <w:sz w:val="20"/>
          <w:szCs w:val="20"/>
        </w:rPr>
        <w:t xml:space="preserve">7. </w:t>
      </w:r>
      <w:r w:rsidR="000E0780">
        <w:rPr>
          <w:rFonts w:ascii="Arial" w:hAnsi="Arial" w:cs="Arial"/>
          <w:sz w:val="20"/>
          <w:szCs w:val="20"/>
        </w:rPr>
        <w:t xml:space="preserve">In that judgment, Judge D.G Harvey described the messages sent by Ms </w:t>
      </w:r>
      <w:r w:rsidR="004835C6">
        <w:rPr>
          <w:rFonts w:ascii="Arial" w:hAnsi="Arial" w:cs="Arial"/>
          <w:sz w:val="20"/>
          <w:szCs w:val="20"/>
        </w:rPr>
        <w:t>[H]</w:t>
      </w:r>
      <w:r w:rsidR="000E0780">
        <w:rPr>
          <w:rFonts w:ascii="Arial" w:hAnsi="Arial" w:cs="Arial"/>
          <w:sz w:val="20"/>
          <w:szCs w:val="20"/>
        </w:rPr>
        <w:t xml:space="preserve"> as “</w:t>
      </w:r>
      <w:r w:rsidR="000E0780" w:rsidRPr="000E0780">
        <w:rPr>
          <w:rFonts w:ascii="Arial" w:hAnsi="Arial" w:cs="Arial"/>
          <w:i/>
          <w:iCs/>
          <w:sz w:val="20"/>
          <w:szCs w:val="20"/>
        </w:rPr>
        <w:t>dreadful</w:t>
      </w:r>
      <w:r w:rsidR="000E0780">
        <w:rPr>
          <w:rFonts w:ascii="Arial" w:hAnsi="Arial" w:cs="Arial"/>
          <w:sz w:val="20"/>
          <w:szCs w:val="20"/>
        </w:rPr>
        <w:t>”.</w:t>
      </w:r>
    </w:p>
    <w:p w14:paraId="5E763299" w14:textId="77777777" w:rsidR="00EF713E" w:rsidRPr="00CC2FEC" w:rsidRDefault="00EF713E" w:rsidP="00F57828">
      <w:pPr>
        <w:pStyle w:val="ListParagraph"/>
        <w:spacing w:after="240" w:line="360" w:lineRule="auto"/>
        <w:ind w:left="1440"/>
        <w:jc w:val="both"/>
        <w:rPr>
          <w:rFonts w:ascii="Arial" w:hAnsi="Arial" w:cs="Arial"/>
          <w:sz w:val="20"/>
          <w:szCs w:val="20"/>
        </w:rPr>
      </w:pPr>
    </w:p>
    <w:p w14:paraId="7327B991" w14:textId="3E1229E2" w:rsidR="00F57828" w:rsidRDefault="00F57828" w:rsidP="00F57828">
      <w:pPr>
        <w:pStyle w:val="ListParagraph"/>
        <w:spacing w:after="240" w:line="360" w:lineRule="auto"/>
        <w:ind w:left="1440"/>
        <w:jc w:val="both"/>
        <w:rPr>
          <w:rFonts w:ascii="Arial" w:hAnsi="Arial" w:cs="Arial"/>
          <w:sz w:val="20"/>
          <w:szCs w:val="20"/>
        </w:rPr>
      </w:pPr>
      <w:r w:rsidRPr="00CC2FEC">
        <w:rPr>
          <w:rFonts w:ascii="Arial" w:hAnsi="Arial" w:cs="Arial"/>
          <w:sz w:val="20"/>
          <w:szCs w:val="20"/>
        </w:rPr>
        <w:t>Victim two</w:t>
      </w:r>
    </w:p>
    <w:p w14:paraId="161E82FD" w14:textId="77777777" w:rsidR="00EF713E" w:rsidRPr="00CC2FEC" w:rsidRDefault="00EF713E" w:rsidP="00F57828">
      <w:pPr>
        <w:pStyle w:val="ListParagraph"/>
        <w:spacing w:after="240" w:line="360" w:lineRule="auto"/>
        <w:ind w:left="1440"/>
        <w:jc w:val="both"/>
        <w:rPr>
          <w:rFonts w:ascii="Arial" w:hAnsi="Arial" w:cs="Arial"/>
          <w:sz w:val="20"/>
          <w:szCs w:val="20"/>
        </w:rPr>
      </w:pPr>
    </w:p>
    <w:p w14:paraId="2630D758" w14:textId="2B1E2250" w:rsidR="00F57828" w:rsidRDefault="00F57828" w:rsidP="00F57828">
      <w:pPr>
        <w:pStyle w:val="ListParagraph"/>
        <w:spacing w:after="240" w:line="360" w:lineRule="auto"/>
        <w:ind w:left="1440"/>
        <w:jc w:val="both"/>
        <w:rPr>
          <w:rFonts w:ascii="Arial" w:hAnsi="Arial" w:cs="Arial"/>
          <w:sz w:val="20"/>
          <w:szCs w:val="20"/>
        </w:rPr>
      </w:pPr>
      <w:r w:rsidRPr="00CC2FEC">
        <w:rPr>
          <w:rFonts w:ascii="Arial" w:hAnsi="Arial" w:cs="Arial"/>
          <w:sz w:val="20"/>
          <w:szCs w:val="20"/>
        </w:rPr>
        <w:t xml:space="preserve">8. At 2.53 on </w:t>
      </w:r>
      <w:r w:rsidR="004204AC">
        <w:rPr>
          <w:rFonts w:ascii="Arial" w:hAnsi="Arial" w:cs="Arial"/>
          <w:sz w:val="20"/>
          <w:szCs w:val="20"/>
        </w:rPr>
        <w:t>[date]</w:t>
      </w:r>
      <w:r w:rsidRPr="00CC2FEC">
        <w:rPr>
          <w:rFonts w:ascii="Arial" w:hAnsi="Arial" w:cs="Arial"/>
          <w:sz w:val="20"/>
          <w:szCs w:val="20"/>
        </w:rPr>
        <w:t xml:space="preserve"> Ms </w:t>
      </w:r>
      <w:r w:rsidR="004835C6">
        <w:rPr>
          <w:rFonts w:ascii="Arial" w:hAnsi="Arial" w:cs="Arial"/>
          <w:sz w:val="20"/>
          <w:szCs w:val="20"/>
        </w:rPr>
        <w:t>[H]</w:t>
      </w:r>
      <w:r w:rsidRPr="00CC2FEC">
        <w:rPr>
          <w:rFonts w:ascii="Arial" w:hAnsi="Arial" w:cs="Arial"/>
          <w:sz w:val="20"/>
          <w:szCs w:val="20"/>
        </w:rPr>
        <w:t xml:space="preserve"> created a Facebook account under the name “</w:t>
      </w:r>
      <w:r w:rsidR="004204AC">
        <w:rPr>
          <w:rFonts w:ascii="Arial" w:hAnsi="Arial" w:cs="Arial"/>
          <w:sz w:val="20"/>
          <w:szCs w:val="20"/>
        </w:rPr>
        <w:t>[name]</w:t>
      </w:r>
      <w:r w:rsidRPr="00CC2FEC">
        <w:rPr>
          <w:rFonts w:ascii="Arial" w:hAnsi="Arial" w:cs="Arial"/>
          <w:sz w:val="20"/>
          <w:szCs w:val="20"/>
        </w:rPr>
        <w:t xml:space="preserve">”. Using that account, Ms </w:t>
      </w:r>
      <w:r w:rsidR="004835C6">
        <w:rPr>
          <w:rFonts w:ascii="Arial" w:hAnsi="Arial" w:cs="Arial"/>
          <w:sz w:val="20"/>
          <w:szCs w:val="20"/>
        </w:rPr>
        <w:t>[H]</w:t>
      </w:r>
      <w:r w:rsidRPr="00CC2FEC">
        <w:rPr>
          <w:rFonts w:ascii="Arial" w:hAnsi="Arial" w:cs="Arial"/>
          <w:sz w:val="20"/>
          <w:szCs w:val="20"/>
        </w:rPr>
        <w:t xml:space="preserve"> then sent a message to Ms R. Between </w:t>
      </w:r>
      <w:r w:rsidR="004204AC">
        <w:rPr>
          <w:rFonts w:ascii="Arial" w:hAnsi="Arial" w:cs="Arial"/>
          <w:sz w:val="20"/>
          <w:szCs w:val="20"/>
        </w:rPr>
        <w:t>[dates]</w:t>
      </w:r>
      <w:r w:rsidRPr="00CC2FEC">
        <w:rPr>
          <w:rFonts w:ascii="Arial" w:hAnsi="Arial" w:cs="Arial"/>
          <w:sz w:val="20"/>
          <w:szCs w:val="20"/>
        </w:rPr>
        <w:t>, Ms R received 36 messages from “</w:t>
      </w:r>
      <w:r w:rsidR="004204AC">
        <w:rPr>
          <w:rFonts w:ascii="Arial" w:hAnsi="Arial" w:cs="Arial"/>
          <w:sz w:val="20"/>
          <w:szCs w:val="20"/>
        </w:rPr>
        <w:t>[name]</w:t>
      </w:r>
      <w:r w:rsidRPr="00CC2FEC">
        <w:rPr>
          <w:rFonts w:ascii="Arial" w:hAnsi="Arial" w:cs="Arial"/>
          <w:sz w:val="20"/>
          <w:szCs w:val="20"/>
        </w:rPr>
        <w:t>.”</w:t>
      </w:r>
    </w:p>
    <w:p w14:paraId="5DEF6084" w14:textId="77777777" w:rsidR="00591BB7" w:rsidRPr="00CC2FEC" w:rsidRDefault="00591BB7" w:rsidP="00F57828">
      <w:pPr>
        <w:pStyle w:val="ListParagraph"/>
        <w:spacing w:after="240" w:line="360" w:lineRule="auto"/>
        <w:ind w:left="1440"/>
        <w:jc w:val="both"/>
        <w:rPr>
          <w:rFonts w:ascii="Arial" w:hAnsi="Arial" w:cs="Arial"/>
          <w:sz w:val="20"/>
          <w:szCs w:val="20"/>
        </w:rPr>
      </w:pPr>
    </w:p>
    <w:p w14:paraId="6BE0738E" w14:textId="135E6B25" w:rsidR="00F57828" w:rsidRPr="00CC2FEC" w:rsidRDefault="00F57828" w:rsidP="00F57828">
      <w:pPr>
        <w:pStyle w:val="ListParagraph"/>
        <w:spacing w:after="240" w:line="360" w:lineRule="auto"/>
        <w:ind w:left="1440"/>
        <w:jc w:val="both"/>
        <w:rPr>
          <w:rFonts w:ascii="Arial" w:hAnsi="Arial" w:cs="Arial"/>
          <w:sz w:val="20"/>
          <w:szCs w:val="20"/>
        </w:rPr>
      </w:pPr>
      <w:r w:rsidRPr="00CC2FEC">
        <w:rPr>
          <w:rFonts w:ascii="Arial" w:hAnsi="Arial" w:cs="Arial"/>
          <w:sz w:val="20"/>
          <w:szCs w:val="20"/>
        </w:rPr>
        <w:t>9. The content of these messages included:</w:t>
      </w:r>
    </w:p>
    <w:p w14:paraId="638A8489" w14:textId="7A793081" w:rsidR="00F57828" w:rsidRDefault="00F57828" w:rsidP="00F57828">
      <w:pPr>
        <w:pStyle w:val="ListParagraph"/>
        <w:spacing w:after="240" w:line="360" w:lineRule="auto"/>
        <w:ind w:left="1440"/>
        <w:jc w:val="both"/>
        <w:rPr>
          <w:rFonts w:ascii="Arial" w:hAnsi="Arial" w:cs="Arial"/>
          <w:sz w:val="20"/>
          <w:szCs w:val="20"/>
        </w:rPr>
      </w:pPr>
      <w:r w:rsidRPr="00CC2FEC">
        <w:rPr>
          <w:rFonts w:ascii="Arial" w:hAnsi="Arial" w:cs="Arial"/>
          <w:sz w:val="20"/>
          <w:szCs w:val="20"/>
        </w:rPr>
        <w:t>“Still bullying people? Fabricating stories? Screwing Managers?</w:t>
      </w:r>
      <w:r w:rsidR="00975FA9" w:rsidRPr="00CC2FEC">
        <w:rPr>
          <w:rFonts w:ascii="Arial" w:hAnsi="Arial" w:cs="Arial"/>
          <w:sz w:val="20"/>
          <w:szCs w:val="20"/>
        </w:rPr>
        <w:t xml:space="preserve"> To get what you want. You’re a piece of shit and karma is a bitch.”</w:t>
      </w:r>
    </w:p>
    <w:p w14:paraId="6A61C789" w14:textId="77777777" w:rsidR="00591BB7" w:rsidRPr="00CC2FEC" w:rsidRDefault="00591BB7" w:rsidP="00F57828">
      <w:pPr>
        <w:pStyle w:val="ListParagraph"/>
        <w:spacing w:after="240" w:line="360" w:lineRule="auto"/>
        <w:ind w:left="1440"/>
        <w:jc w:val="both"/>
        <w:rPr>
          <w:rFonts w:ascii="Arial" w:hAnsi="Arial" w:cs="Arial"/>
          <w:sz w:val="20"/>
          <w:szCs w:val="20"/>
        </w:rPr>
      </w:pPr>
    </w:p>
    <w:p w14:paraId="319BCA99" w14:textId="2615ADC9" w:rsidR="00975FA9" w:rsidRPr="00CC2FEC" w:rsidRDefault="00975FA9" w:rsidP="00F57828">
      <w:pPr>
        <w:pStyle w:val="ListParagraph"/>
        <w:spacing w:after="240" w:line="360" w:lineRule="auto"/>
        <w:ind w:left="1440"/>
        <w:jc w:val="both"/>
        <w:rPr>
          <w:rFonts w:ascii="Arial" w:hAnsi="Arial" w:cs="Arial"/>
          <w:sz w:val="20"/>
          <w:szCs w:val="20"/>
        </w:rPr>
      </w:pPr>
      <w:r w:rsidRPr="00CC2FEC">
        <w:rPr>
          <w:rFonts w:ascii="Arial" w:hAnsi="Arial" w:cs="Arial"/>
          <w:sz w:val="20"/>
          <w:szCs w:val="20"/>
        </w:rPr>
        <w:t>10. The messages became more personal, and included Ms R’s full name, despite that not being her name on Facebook. The messages continued, including:</w:t>
      </w:r>
    </w:p>
    <w:p w14:paraId="5488CB68" w14:textId="690811BE" w:rsidR="00975FA9" w:rsidRPr="000E0780" w:rsidRDefault="000E0780" w:rsidP="00F57828">
      <w:pPr>
        <w:pStyle w:val="ListParagraph"/>
        <w:spacing w:after="240" w:line="360" w:lineRule="auto"/>
        <w:ind w:left="1440"/>
        <w:jc w:val="both"/>
        <w:rPr>
          <w:rFonts w:ascii="Arial" w:hAnsi="Arial" w:cs="Arial"/>
          <w:sz w:val="20"/>
          <w:szCs w:val="20"/>
        </w:rPr>
      </w:pPr>
      <w:r>
        <w:rPr>
          <w:rFonts w:ascii="Arial" w:hAnsi="Arial" w:cs="Arial"/>
          <w:sz w:val="20"/>
          <w:szCs w:val="20"/>
        </w:rPr>
        <w:t>‘</w:t>
      </w:r>
      <w:r w:rsidR="00975FA9" w:rsidRPr="00CC2FEC">
        <w:rPr>
          <w:rFonts w:ascii="Arial" w:hAnsi="Arial" w:cs="Arial"/>
          <w:sz w:val="20"/>
          <w:szCs w:val="20"/>
        </w:rPr>
        <w:t>U</w:t>
      </w:r>
      <w:r w:rsidR="00975FA9" w:rsidRPr="000E0780">
        <w:rPr>
          <w:rFonts w:ascii="Arial" w:hAnsi="Arial" w:cs="Arial"/>
          <w:i/>
          <w:iCs/>
          <w:sz w:val="20"/>
          <w:szCs w:val="20"/>
        </w:rPr>
        <w:t xml:space="preserve"> shit useless social worker with a fat ass full of shit that sucks her managers cocks.</w:t>
      </w:r>
      <w:r>
        <w:rPr>
          <w:rFonts w:ascii="Arial" w:hAnsi="Arial" w:cs="Arial"/>
          <w:sz w:val="20"/>
          <w:szCs w:val="20"/>
        </w:rPr>
        <w:t>”</w:t>
      </w:r>
    </w:p>
    <w:p w14:paraId="6E21AB05" w14:textId="77777777" w:rsidR="00E12470" w:rsidRDefault="00E12470" w:rsidP="00F57828">
      <w:pPr>
        <w:pStyle w:val="ListParagraph"/>
        <w:spacing w:after="240" w:line="360" w:lineRule="auto"/>
        <w:ind w:left="1440"/>
        <w:jc w:val="both"/>
        <w:rPr>
          <w:rFonts w:ascii="Arial" w:hAnsi="Arial" w:cs="Arial"/>
        </w:rPr>
      </w:pPr>
    </w:p>
    <w:p w14:paraId="340FFB5A" w14:textId="1488D090" w:rsidR="00975FA9" w:rsidRDefault="00975FA9" w:rsidP="00F57828">
      <w:pPr>
        <w:pStyle w:val="ListParagraph"/>
        <w:numPr>
          <w:ilvl w:val="0"/>
          <w:numId w:val="18"/>
        </w:numPr>
        <w:spacing w:after="240" w:line="360" w:lineRule="auto"/>
        <w:jc w:val="both"/>
        <w:rPr>
          <w:rFonts w:ascii="Arial" w:hAnsi="Arial" w:cs="Arial"/>
        </w:rPr>
      </w:pPr>
      <w:r>
        <w:rPr>
          <w:rFonts w:ascii="Arial" w:hAnsi="Arial" w:cs="Arial"/>
        </w:rPr>
        <w:t xml:space="preserve">Ms R reported the messages </w:t>
      </w:r>
      <w:r w:rsidR="00936445">
        <w:rPr>
          <w:rFonts w:ascii="Arial" w:hAnsi="Arial" w:cs="Arial"/>
        </w:rPr>
        <w:t xml:space="preserve">she received </w:t>
      </w:r>
      <w:r>
        <w:rPr>
          <w:rFonts w:ascii="Arial" w:hAnsi="Arial" w:cs="Arial"/>
        </w:rPr>
        <w:t xml:space="preserve">to </w:t>
      </w:r>
      <w:r w:rsidR="00A065F6">
        <w:rPr>
          <w:rFonts w:ascii="Arial" w:hAnsi="Arial" w:cs="Arial"/>
        </w:rPr>
        <w:t xml:space="preserve">the </w:t>
      </w:r>
      <w:r>
        <w:rPr>
          <w:rFonts w:ascii="Arial" w:hAnsi="Arial" w:cs="Arial"/>
        </w:rPr>
        <w:t xml:space="preserve">Police on </w:t>
      </w:r>
      <w:r w:rsidR="005351F3">
        <w:rPr>
          <w:rFonts w:ascii="Arial" w:hAnsi="Arial" w:cs="Arial"/>
        </w:rPr>
        <w:t>[date]</w:t>
      </w:r>
      <w:r>
        <w:rPr>
          <w:rFonts w:ascii="Arial" w:hAnsi="Arial" w:cs="Arial"/>
        </w:rPr>
        <w:t xml:space="preserve">, and again when she received further messages the following day. </w:t>
      </w:r>
      <w:r w:rsidR="00936445">
        <w:rPr>
          <w:rFonts w:ascii="Arial" w:hAnsi="Arial" w:cs="Arial"/>
        </w:rPr>
        <w:t>When approached, t</w:t>
      </w:r>
      <w:r>
        <w:rPr>
          <w:rFonts w:ascii="Arial" w:hAnsi="Arial" w:cs="Arial"/>
        </w:rPr>
        <w:t xml:space="preserve">he respondent acknowledged to the Police that she was responsible for the messages. </w:t>
      </w:r>
    </w:p>
    <w:p w14:paraId="3AC52952" w14:textId="77777777" w:rsidR="00936445" w:rsidRDefault="00936445" w:rsidP="00936445">
      <w:pPr>
        <w:pStyle w:val="ListParagraph"/>
        <w:spacing w:after="240" w:line="360" w:lineRule="auto"/>
        <w:jc w:val="both"/>
        <w:rPr>
          <w:rFonts w:ascii="Arial" w:hAnsi="Arial" w:cs="Arial"/>
        </w:rPr>
      </w:pPr>
    </w:p>
    <w:p w14:paraId="45D233BA" w14:textId="0C39B513" w:rsidR="00F57828" w:rsidRDefault="00A065F6" w:rsidP="00F57828">
      <w:pPr>
        <w:pStyle w:val="ListParagraph"/>
        <w:numPr>
          <w:ilvl w:val="0"/>
          <w:numId w:val="18"/>
        </w:numPr>
        <w:spacing w:after="240" w:line="360" w:lineRule="auto"/>
        <w:jc w:val="both"/>
        <w:rPr>
          <w:rFonts w:ascii="Arial" w:hAnsi="Arial" w:cs="Arial"/>
        </w:rPr>
      </w:pPr>
      <w:r>
        <w:rPr>
          <w:rFonts w:ascii="Arial" w:hAnsi="Arial" w:cs="Arial"/>
        </w:rPr>
        <w:t>C</w:t>
      </w:r>
      <w:r w:rsidR="00975FA9">
        <w:rPr>
          <w:rFonts w:ascii="Arial" w:hAnsi="Arial" w:cs="Arial"/>
        </w:rPr>
        <w:t xml:space="preserve">riminal charges </w:t>
      </w:r>
      <w:r>
        <w:rPr>
          <w:rFonts w:ascii="Arial" w:hAnsi="Arial" w:cs="Arial"/>
        </w:rPr>
        <w:t xml:space="preserve">were laid </w:t>
      </w:r>
      <w:r w:rsidR="00936445">
        <w:rPr>
          <w:rFonts w:ascii="Arial" w:hAnsi="Arial" w:cs="Arial"/>
        </w:rPr>
        <w:t>under the HDC Act 2015</w:t>
      </w:r>
      <w:r w:rsidR="00EF713E">
        <w:rPr>
          <w:rFonts w:ascii="Arial" w:hAnsi="Arial" w:cs="Arial"/>
        </w:rPr>
        <w:t>.</w:t>
      </w:r>
      <w:r>
        <w:rPr>
          <w:rFonts w:ascii="Arial" w:hAnsi="Arial" w:cs="Arial"/>
        </w:rPr>
        <w:t xml:space="preserve"> Th</w:t>
      </w:r>
      <w:r w:rsidR="00975FA9">
        <w:rPr>
          <w:rFonts w:ascii="Arial" w:hAnsi="Arial" w:cs="Arial"/>
        </w:rPr>
        <w:t xml:space="preserve">e respondent entered guilty pleas on </w:t>
      </w:r>
      <w:r w:rsidR="003E64E0">
        <w:rPr>
          <w:rFonts w:ascii="Arial" w:hAnsi="Arial" w:cs="Arial"/>
        </w:rPr>
        <w:t>[date]</w:t>
      </w:r>
      <w:r w:rsidR="00975FA9">
        <w:rPr>
          <w:rFonts w:ascii="Arial" w:hAnsi="Arial" w:cs="Arial"/>
        </w:rPr>
        <w:t>.</w:t>
      </w:r>
      <w:r w:rsidR="00975FA9">
        <w:rPr>
          <w:rStyle w:val="FootnoteReference"/>
          <w:rFonts w:ascii="Arial" w:hAnsi="Arial" w:cs="Arial"/>
        </w:rPr>
        <w:footnoteReference w:id="4"/>
      </w:r>
      <w:r w:rsidR="00975FA9">
        <w:rPr>
          <w:rFonts w:ascii="Arial" w:hAnsi="Arial" w:cs="Arial"/>
        </w:rPr>
        <w:t xml:space="preserve"> </w:t>
      </w:r>
      <w:r>
        <w:rPr>
          <w:rFonts w:ascii="Arial" w:hAnsi="Arial" w:cs="Arial"/>
        </w:rPr>
        <w:t xml:space="preserve"> </w:t>
      </w:r>
      <w:r w:rsidR="00591BB7">
        <w:rPr>
          <w:rFonts w:ascii="Arial" w:hAnsi="Arial" w:cs="Arial"/>
        </w:rPr>
        <w:t xml:space="preserve">The respondent was convicted and discharged. </w:t>
      </w:r>
      <w:r w:rsidR="00975FA9">
        <w:rPr>
          <w:rFonts w:ascii="Arial" w:hAnsi="Arial" w:cs="Arial"/>
        </w:rPr>
        <w:t xml:space="preserve">Both Ms R and Ms F were recorded in the District Court Judge’s findings to be fearful for their safety, and the Judge described the Respondent’s </w:t>
      </w:r>
      <w:r w:rsidR="00474B46">
        <w:rPr>
          <w:rFonts w:ascii="Arial" w:hAnsi="Arial" w:cs="Arial"/>
        </w:rPr>
        <w:t>messages as “</w:t>
      </w:r>
      <w:r w:rsidR="00474B46" w:rsidRPr="00936445">
        <w:rPr>
          <w:rFonts w:ascii="Arial" w:hAnsi="Arial" w:cs="Arial"/>
          <w:i/>
          <w:iCs/>
        </w:rPr>
        <w:t>awful</w:t>
      </w:r>
      <w:r w:rsidR="00474B46">
        <w:rPr>
          <w:rFonts w:ascii="Arial" w:hAnsi="Arial" w:cs="Arial"/>
        </w:rPr>
        <w:t>”</w:t>
      </w:r>
      <w:r w:rsidR="00975FA9">
        <w:rPr>
          <w:rFonts w:ascii="Arial" w:hAnsi="Arial" w:cs="Arial"/>
        </w:rPr>
        <w:t>.</w:t>
      </w:r>
      <w:r w:rsidR="00474B46">
        <w:rPr>
          <w:rFonts w:ascii="Arial" w:hAnsi="Arial" w:cs="Arial"/>
        </w:rPr>
        <w:t xml:space="preserve"> The Summary of Facts records the Judge </w:t>
      </w:r>
      <w:r w:rsidR="00936445">
        <w:rPr>
          <w:rFonts w:ascii="Arial" w:hAnsi="Arial" w:cs="Arial"/>
        </w:rPr>
        <w:t>as finding</w:t>
      </w:r>
      <w:r w:rsidR="00474B46">
        <w:rPr>
          <w:rFonts w:ascii="Arial" w:hAnsi="Arial" w:cs="Arial"/>
        </w:rPr>
        <w:t>:</w:t>
      </w:r>
    </w:p>
    <w:p w14:paraId="4EE25DCA" w14:textId="77777777" w:rsidR="00E6648E" w:rsidRDefault="00E6648E" w:rsidP="00E6648E">
      <w:pPr>
        <w:pStyle w:val="ListParagraph"/>
        <w:spacing w:after="240" w:line="360" w:lineRule="auto"/>
        <w:jc w:val="both"/>
        <w:rPr>
          <w:rFonts w:ascii="Arial" w:hAnsi="Arial" w:cs="Arial"/>
        </w:rPr>
      </w:pPr>
    </w:p>
    <w:p w14:paraId="19F8CBF3" w14:textId="1D1BC9B0" w:rsidR="00474B46" w:rsidRPr="00A065F6" w:rsidRDefault="00474B46" w:rsidP="00936445">
      <w:pPr>
        <w:pStyle w:val="ListParagraph"/>
        <w:spacing w:after="240" w:line="360" w:lineRule="auto"/>
        <w:ind w:left="1440"/>
        <w:jc w:val="both"/>
        <w:rPr>
          <w:rFonts w:ascii="Arial" w:hAnsi="Arial" w:cs="Arial"/>
          <w:sz w:val="20"/>
          <w:szCs w:val="20"/>
        </w:rPr>
      </w:pPr>
      <w:r w:rsidRPr="00A065F6">
        <w:rPr>
          <w:rFonts w:ascii="Arial" w:hAnsi="Arial" w:cs="Arial"/>
          <w:sz w:val="20"/>
          <w:szCs w:val="20"/>
        </w:rPr>
        <w:t>I form the view that this offending was both sustained and thought-out. It clearly has affected both of these ladies, and Ms [R] in particular was reduced to a state of fear. I have no doubt that this offending is properly described as moderately serious.</w:t>
      </w:r>
    </w:p>
    <w:p w14:paraId="2D3F4B50" w14:textId="77777777" w:rsidR="00936445" w:rsidRDefault="00936445" w:rsidP="00936445">
      <w:pPr>
        <w:pStyle w:val="ListParagraph"/>
        <w:spacing w:after="240" w:line="360" w:lineRule="auto"/>
        <w:ind w:left="1440"/>
        <w:jc w:val="both"/>
        <w:rPr>
          <w:rFonts w:ascii="Arial" w:hAnsi="Arial" w:cs="Arial"/>
        </w:rPr>
      </w:pPr>
    </w:p>
    <w:p w14:paraId="353B89F4" w14:textId="6390C638" w:rsidR="00474B46" w:rsidRPr="00591BB7" w:rsidRDefault="00BE5578" w:rsidP="00591BB7">
      <w:pPr>
        <w:pStyle w:val="ListParagraph"/>
        <w:numPr>
          <w:ilvl w:val="0"/>
          <w:numId w:val="18"/>
        </w:numPr>
        <w:spacing w:after="240" w:line="360" w:lineRule="auto"/>
        <w:jc w:val="both"/>
        <w:rPr>
          <w:rFonts w:ascii="Arial" w:hAnsi="Arial" w:cs="Arial"/>
        </w:rPr>
      </w:pPr>
      <w:r>
        <w:rPr>
          <w:rFonts w:ascii="Arial" w:hAnsi="Arial" w:cs="Arial"/>
        </w:rPr>
        <w:t xml:space="preserve">The Police Summary of Facts was included in the </w:t>
      </w:r>
      <w:r w:rsidR="00E12470">
        <w:rPr>
          <w:rFonts w:ascii="Arial" w:hAnsi="Arial" w:cs="Arial"/>
        </w:rPr>
        <w:t xml:space="preserve">evidence </w:t>
      </w:r>
      <w:r>
        <w:rPr>
          <w:rFonts w:ascii="Arial" w:hAnsi="Arial" w:cs="Arial"/>
        </w:rPr>
        <w:t xml:space="preserve">and </w:t>
      </w:r>
      <w:r w:rsidR="00E12470">
        <w:rPr>
          <w:rFonts w:ascii="Arial" w:hAnsi="Arial" w:cs="Arial"/>
        </w:rPr>
        <w:t>contains</w:t>
      </w:r>
      <w:r>
        <w:rPr>
          <w:rFonts w:ascii="Arial" w:hAnsi="Arial" w:cs="Arial"/>
        </w:rPr>
        <w:t xml:space="preserve"> further examples of </w:t>
      </w:r>
      <w:r w:rsidR="00E12470">
        <w:rPr>
          <w:rFonts w:ascii="Arial" w:hAnsi="Arial" w:cs="Arial"/>
        </w:rPr>
        <w:t xml:space="preserve">the respondent’s </w:t>
      </w:r>
      <w:r>
        <w:rPr>
          <w:rFonts w:ascii="Arial" w:hAnsi="Arial" w:cs="Arial"/>
        </w:rPr>
        <w:t>messages</w:t>
      </w:r>
      <w:r w:rsidR="00E12470">
        <w:rPr>
          <w:rFonts w:ascii="Arial" w:hAnsi="Arial" w:cs="Arial"/>
        </w:rPr>
        <w:t>.</w:t>
      </w:r>
      <w:r>
        <w:rPr>
          <w:rFonts w:ascii="Arial" w:hAnsi="Arial" w:cs="Arial"/>
        </w:rPr>
        <w:t xml:space="preserve"> They are vindictive, threatening and abusive.</w:t>
      </w:r>
      <w:r w:rsidR="00591BB7">
        <w:rPr>
          <w:rFonts w:ascii="Arial" w:hAnsi="Arial" w:cs="Arial"/>
        </w:rPr>
        <w:t xml:space="preserve"> </w:t>
      </w:r>
      <w:r w:rsidRPr="00591BB7">
        <w:rPr>
          <w:rFonts w:ascii="Arial" w:hAnsi="Arial" w:cs="Arial"/>
        </w:rPr>
        <w:t>T</w:t>
      </w:r>
      <w:r w:rsidR="00474B46" w:rsidRPr="00591BB7">
        <w:rPr>
          <w:rFonts w:ascii="Arial" w:hAnsi="Arial" w:cs="Arial"/>
        </w:rPr>
        <w:t>he Tribunal</w:t>
      </w:r>
      <w:r w:rsidR="00591BB7">
        <w:rPr>
          <w:rFonts w:ascii="Arial" w:hAnsi="Arial" w:cs="Arial"/>
        </w:rPr>
        <w:t xml:space="preserve"> also</w:t>
      </w:r>
      <w:r w:rsidRPr="00591BB7">
        <w:rPr>
          <w:rFonts w:ascii="Arial" w:hAnsi="Arial" w:cs="Arial"/>
        </w:rPr>
        <w:t xml:space="preserve"> </w:t>
      </w:r>
      <w:r w:rsidR="00474B46" w:rsidRPr="00591BB7">
        <w:rPr>
          <w:rFonts w:ascii="Arial" w:hAnsi="Arial" w:cs="Arial"/>
        </w:rPr>
        <w:t xml:space="preserve">received written submissions on behalf of the </w:t>
      </w:r>
      <w:r w:rsidR="00E12470" w:rsidRPr="00591BB7">
        <w:rPr>
          <w:rFonts w:ascii="Arial" w:hAnsi="Arial" w:cs="Arial"/>
        </w:rPr>
        <w:t>PCC</w:t>
      </w:r>
      <w:r w:rsidR="00474B46" w:rsidRPr="00591BB7">
        <w:rPr>
          <w:rFonts w:ascii="Arial" w:hAnsi="Arial" w:cs="Arial"/>
        </w:rPr>
        <w:t xml:space="preserve"> and the respondent, </w:t>
      </w:r>
      <w:r w:rsidR="00042909" w:rsidRPr="00591BB7">
        <w:rPr>
          <w:rFonts w:ascii="Arial" w:hAnsi="Arial" w:cs="Arial"/>
        </w:rPr>
        <w:t>an affidavit by the respondent</w:t>
      </w:r>
      <w:r w:rsidR="00936445" w:rsidRPr="00591BB7">
        <w:rPr>
          <w:rFonts w:ascii="Arial" w:hAnsi="Arial" w:cs="Arial"/>
        </w:rPr>
        <w:t xml:space="preserve"> dated 30 January 2024</w:t>
      </w:r>
      <w:r w:rsidR="00042909" w:rsidRPr="00591BB7">
        <w:rPr>
          <w:rFonts w:ascii="Arial" w:hAnsi="Arial" w:cs="Arial"/>
        </w:rPr>
        <w:t xml:space="preserve"> </w:t>
      </w:r>
      <w:r w:rsidR="00474B46" w:rsidRPr="00591BB7">
        <w:rPr>
          <w:rFonts w:ascii="Arial" w:hAnsi="Arial" w:cs="Arial"/>
        </w:rPr>
        <w:t xml:space="preserve">and an agreed bundle of documents </w:t>
      </w:r>
      <w:r w:rsidRPr="00591BB7">
        <w:rPr>
          <w:rFonts w:ascii="Arial" w:hAnsi="Arial" w:cs="Arial"/>
        </w:rPr>
        <w:t>including</w:t>
      </w:r>
      <w:r w:rsidR="006B305E" w:rsidRPr="00591BB7">
        <w:rPr>
          <w:rFonts w:ascii="Arial" w:hAnsi="Arial" w:cs="Arial"/>
        </w:rPr>
        <w:t xml:space="preserve"> correspondence from counsel for the respondent to the PCC dated 17 January 2023, the PCC report dated 28 April 2023 determining to refer the matter to the Tribunal, </w:t>
      </w:r>
      <w:r w:rsidR="00765DB8" w:rsidRPr="00591BB7">
        <w:rPr>
          <w:rFonts w:ascii="Arial" w:hAnsi="Arial" w:cs="Arial"/>
        </w:rPr>
        <w:t xml:space="preserve">and </w:t>
      </w:r>
      <w:r w:rsidR="00936445" w:rsidRPr="00591BB7">
        <w:rPr>
          <w:rFonts w:ascii="Arial" w:hAnsi="Arial" w:cs="Arial"/>
        </w:rPr>
        <w:t xml:space="preserve">email </w:t>
      </w:r>
      <w:r w:rsidR="006B305E" w:rsidRPr="00591BB7">
        <w:rPr>
          <w:rFonts w:ascii="Arial" w:hAnsi="Arial" w:cs="Arial"/>
        </w:rPr>
        <w:t>correspondence from counsel for the PCC notifying the Board of the respondent’s convictions on 7 April 2022.</w:t>
      </w:r>
    </w:p>
    <w:p w14:paraId="493BA5CA" w14:textId="63932043" w:rsidR="00474B46" w:rsidRPr="00936445" w:rsidRDefault="00936445" w:rsidP="00936445">
      <w:pPr>
        <w:spacing w:after="240" w:line="360" w:lineRule="auto"/>
        <w:ind w:firstLine="720"/>
        <w:jc w:val="both"/>
        <w:rPr>
          <w:rFonts w:ascii="Arial" w:hAnsi="Arial" w:cs="Arial"/>
          <w:b/>
          <w:bCs/>
        </w:rPr>
      </w:pPr>
      <w:r>
        <w:rPr>
          <w:rFonts w:ascii="Arial" w:hAnsi="Arial" w:cs="Arial"/>
          <w:b/>
          <w:bCs/>
        </w:rPr>
        <w:t>Legal Principles</w:t>
      </w:r>
    </w:p>
    <w:p w14:paraId="75719AFB" w14:textId="77D3D163" w:rsidR="00D52926" w:rsidRDefault="00D52926" w:rsidP="009417F6">
      <w:pPr>
        <w:pStyle w:val="ListParagraph"/>
        <w:numPr>
          <w:ilvl w:val="0"/>
          <w:numId w:val="18"/>
        </w:numPr>
        <w:spacing w:after="240" w:line="360" w:lineRule="auto"/>
        <w:jc w:val="both"/>
        <w:rPr>
          <w:rFonts w:ascii="Arial" w:hAnsi="Arial" w:cs="Arial"/>
        </w:rPr>
      </w:pPr>
      <w:r>
        <w:rPr>
          <w:rFonts w:ascii="Arial" w:hAnsi="Arial" w:cs="Arial"/>
        </w:rPr>
        <w:t>The onus of proof rests with the PCC, on the balance of probabilities.</w:t>
      </w:r>
    </w:p>
    <w:p w14:paraId="78D879A9" w14:textId="77777777" w:rsidR="00D52926" w:rsidRDefault="00D52926" w:rsidP="00D52926">
      <w:pPr>
        <w:pStyle w:val="ListParagraph"/>
        <w:spacing w:after="240" w:line="360" w:lineRule="auto"/>
        <w:jc w:val="both"/>
        <w:rPr>
          <w:rFonts w:ascii="Arial" w:hAnsi="Arial" w:cs="Arial"/>
        </w:rPr>
      </w:pPr>
    </w:p>
    <w:p w14:paraId="783B5CBA" w14:textId="01D0C40A" w:rsidR="00474B46" w:rsidRDefault="00AB6C6F" w:rsidP="009417F6">
      <w:pPr>
        <w:pStyle w:val="ListParagraph"/>
        <w:numPr>
          <w:ilvl w:val="0"/>
          <w:numId w:val="18"/>
        </w:numPr>
        <w:spacing w:after="240" w:line="360" w:lineRule="auto"/>
        <w:jc w:val="both"/>
        <w:rPr>
          <w:rFonts w:ascii="Arial" w:hAnsi="Arial" w:cs="Arial"/>
        </w:rPr>
      </w:pPr>
      <w:r>
        <w:rPr>
          <w:rFonts w:ascii="Arial" w:hAnsi="Arial" w:cs="Arial"/>
        </w:rPr>
        <w:t>The</w:t>
      </w:r>
      <w:r w:rsidR="00474B46">
        <w:rPr>
          <w:rFonts w:ascii="Arial" w:hAnsi="Arial" w:cs="Arial"/>
        </w:rPr>
        <w:t xml:space="preserve"> respondent</w:t>
      </w:r>
      <w:r>
        <w:rPr>
          <w:rFonts w:ascii="Arial" w:hAnsi="Arial" w:cs="Arial"/>
        </w:rPr>
        <w:t xml:space="preserve">’s registration was </w:t>
      </w:r>
      <w:r w:rsidR="00474B46">
        <w:rPr>
          <w:rFonts w:ascii="Arial" w:hAnsi="Arial" w:cs="Arial"/>
        </w:rPr>
        <w:t xml:space="preserve">cancelled by the </w:t>
      </w:r>
      <w:r w:rsidR="002A5B32">
        <w:rPr>
          <w:rFonts w:ascii="Arial" w:hAnsi="Arial" w:cs="Arial"/>
        </w:rPr>
        <w:t>T</w:t>
      </w:r>
      <w:r w:rsidR="00474B46">
        <w:rPr>
          <w:rFonts w:ascii="Arial" w:hAnsi="Arial" w:cs="Arial"/>
        </w:rPr>
        <w:t xml:space="preserve">ribunal in a decision dated </w:t>
      </w:r>
      <w:r w:rsidR="00BC7EF8">
        <w:rPr>
          <w:rFonts w:ascii="Arial" w:hAnsi="Arial" w:cs="Arial"/>
        </w:rPr>
        <w:t>[date]</w:t>
      </w:r>
      <w:r w:rsidR="00474B46">
        <w:rPr>
          <w:rFonts w:ascii="Arial" w:hAnsi="Arial" w:cs="Arial"/>
        </w:rPr>
        <w:t>.</w:t>
      </w:r>
      <w:r w:rsidR="00591BB7">
        <w:rPr>
          <w:rStyle w:val="FootnoteReference"/>
          <w:rFonts w:ascii="Arial" w:hAnsi="Arial" w:cs="Arial"/>
        </w:rPr>
        <w:footnoteReference w:id="5"/>
      </w:r>
      <w:r w:rsidR="00474B46">
        <w:rPr>
          <w:rFonts w:ascii="Arial" w:hAnsi="Arial" w:cs="Arial"/>
        </w:rPr>
        <w:t xml:space="preserve"> </w:t>
      </w:r>
      <w:r w:rsidR="00E6648E">
        <w:rPr>
          <w:rFonts w:ascii="Arial" w:hAnsi="Arial" w:cs="Arial"/>
        </w:rPr>
        <w:t>B</w:t>
      </w:r>
      <w:r w:rsidR="00474B46">
        <w:rPr>
          <w:rFonts w:ascii="Arial" w:hAnsi="Arial" w:cs="Arial"/>
        </w:rPr>
        <w:t xml:space="preserve">oth parties accepted that </w:t>
      </w:r>
      <w:r w:rsidR="000E0780">
        <w:rPr>
          <w:rFonts w:ascii="Arial" w:hAnsi="Arial" w:cs="Arial"/>
        </w:rPr>
        <w:t>we have</w:t>
      </w:r>
      <w:r w:rsidR="00474B46">
        <w:rPr>
          <w:rFonts w:ascii="Arial" w:hAnsi="Arial" w:cs="Arial"/>
        </w:rPr>
        <w:t xml:space="preserve"> jurisdiction to consider th</w:t>
      </w:r>
      <w:r>
        <w:rPr>
          <w:rFonts w:ascii="Arial" w:hAnsi="Arial" w:cs="Arial"/>
        </w:rPr>
        <w:t xml:space="preserve">e </w:t>
      </w:r>
      <w:r w:rsidR="00474B46">
        <w:rPr>
          <w:rFonts w:ascii="Arial" w:hAnsi="Arial" w:cs="Arial"/>
        </w:rPr>
        <w:t xml:space="preserve">charge on the basis that the respondent was registered at the time of the conduct in question, being the events in the charge, and the </w:t>
      </w:r>
      <w:r w:rsidR="00042909">
        <w:rPr>
          <w:rFonts w:ascii="Arial" w:hAnsi="Arial" w:cs="Arial"/>
        </w:rPr>
        <w:t>convictions under the HDC Act</w:t>
      </w:r>
      <w:r>
        <w:rPr>
          <w:rFonts w:ascii="Arial" w:hAnsi="Arial" w:cs="Arial"/>
        </w:rPr>
        <w:t xml:space="preserve"> 2015</w:t>
      </w:r>
      <w:r w:rsidR="00042909">
        <w:rPr>
          <w:rFonts w:ascii="Arial" w:hAnsi="Arial" w:cs="Arial"/>
        </w:rPr>
        <w:t>.</w:t>
      </w:r>
      <w:r w:rsidR="00E6648E">
        <w:rPr>
          <w:rFonts w:ascii="Arial" w:hAnsi="Arial" w:cs="Arial"/>
        </w:rPr>
        <w:t xml:space="preserve"> Section 134 of the </w:t>
      </w:r>
      <w:r>
        <w:rPr>
          <w:rFonts w:ascii="Arial" w:hAnsi="Arial" w:cs="Arial"/>
        </w:rPr>
        <w:t xml:space="preserve">Act </w:t>
      </w:r>
      <w:r w:rsidR="00E6648E">
        <w:rPr>
          <w:rFonts w:ascii="Arial" w:hAnsi="Arial" w:cs="Arial"/>
        </w:rPr>
        <w:t>provides:</w:t>
      </w:r>
    </w:p>
    <w:p w14:paraId="4BC42905" w14:textId="77777777" w:rsidR="00E6648E" w:rsidRDefault="00E6648E" w:rsidP="00E6648E">
      <w:pPr>
        <w:pStyle w:val="ListParagraph"/>
        <w:spacing w:after="240" w:line="360" w:lineRule="auto"/>
        <w:jc w:val="both"/>
        <w:rPr>
          <w:rFonts w:ascii="Arial" w:hAnsi="Arial" w:cs="Arial"/>
        </w:rPr>
      </w:pPr>
    </w:p>
    <w:p w14:paraId="5A8E7F45" w14:textId="6A2AD123" w:rsidR="00E6648E" w:rsidRDefault="00E6648E" w:rsidP="00E6648E">
      <w:pPr>
        <w:pStyle w:val="ListParagraph"/>
        <w:spacing w:after="240" w:line="360" w:lineRule="auto"/>
        <w:ind w:left="1440"/>
        <w:jc w:val="both"/>
        <w:rPr>
          <w:rFonts w:ascii="Arial" w:hAnsi="Arial" w:cs="Arial"/>
        </w:rPr>
      </w:pPr>
      <w:r w:rsidRPr="00E12470">
        <w:rPr>
          <w:rFonts w:ascii="Arial" w:hAnsi="Arial" w:cs="Arial"/>
          <w:sz w:val="20"/>
          <w:szCs w:val="20"/>
        </w:rPr>
        <w:t>The cancellation or suspension of a social worker’s registration or the suspension of their practising certificate does not affect their liability for any act or default occurring before the cancellation or suspension</w:t>
      </w:r>
      <w:r>
        <w:rPr>
          <w:rFonts w:ascii="Arial" w:hAnsi="Arial" w:cs="Arial"/>
        </w:rPr>
        <w:t>.</w:t>
      </w:r>
    </w:p>
    <w:p w14:paraId="0DD5AA4C" w14:textId="77777777" w:rsidR="00C17610" w:rsidRDefault="00C17610" w:rsidP="00C17610">
      <w:pPr>
        <w:pStyle w:val="ListParagraph"/>
        <w:spacing w:after="240" w:line="360" w:lineRule="auto"/>
        <w:jc w:val="both"/>
        <w:rPr>
          <w:rFonts w:ascii="Arial" w:hAnsi="Arial" w:cs="Arial"/>
        </w:rPr>
      </w:pPr>
    </w:p>
    <w:p w14:paraId="2B035EEC" w14:textId="6586F2F8" w:rsidR="00042909" w:rsidRDefault="00E6648E" w:rsidP="009417F6">
      <w:pPr>
        <w:pStyle w:val="ListParagraph"/>
        <w:numPr>
          <w:ilvl w:val="0"/>
          <w:numId w:val="18"/>
        </w:numPr>
        <w:spacing w:after="240" w:line="360" w:lineRule="auto"/>
        <w:jc w:val="both"/>
        <w:rPr>
          <w:rFonts w:ascii="Arial" w:hAnsi="Arial" w:cs="Arial"/>
        </w:rPr>
      </w:pPr>
      <w:r>
        <w:rPr>
          <w:rFonts w:ascii="Arial" w:hAnsi="Arial" w:cs="Arial"/>
        </w:rPr>
        <w:t xml:space="preserve">Counsel for the respondent did </w:t>
      </w:r>
      <w:r w:rsidR="00E12470">
        <w:rPr>
          <w:rFonts w:ascii="Arial" w:hAnsi="Arial" w:cs="Arial"/>
        </w:rPr>
        <w:t>challenge whether</w:t>
      </w:r>
      <w:r>
        <w:rPr>
          <w:rFonts w:ascii="Arial" w:hAnsi="Arial" w:cs="Arial"/>
        </w:rPr>
        <w:t xml:space="preserve"> </w:t>
      </w:r>
      <w:r w:rsidR="002A5B32">
        <w:rPr>
          <w:rFonts w:ascii="Arial" w:hAnsi="Arial" w:cs="Arial"/>
        </w:rPr>
        <w:t>we</w:t>
      </w:r>
      <w:r w:rsidR="00AB6C6F">
        <w:rPr>
          <w:rFonts w:ascii="Arial" w:hAnsi="Arial" w:cs="Arial"/>
        </w:rPr>
        <w:t xml:space="preserve"> </w:t>
      </w:r>
      <w:r w:rsidR="00E12470">
        <w:rPr>
          <w:rFonts w:ascii="Arial" w:hAnsi="Arial" w:cs="Arial"/>
        </w:rPr>
        <w:t>should hear</w:t>
      </w:r>
      <w:r w:rsidR="00AB6C6F">
        <w:rPr>
          <w:rFonts w:ascii="Arial" w:hAnsi="Arial" w:cs="Arial"/>
        </w:rPr>
        <w:t xml:space="preserve"> the </w:t>
      </w:r>
      <w:r>
        <w:rPr>
          <w:rFonts w:ascii="Arial" w:hAnsi="Arial" w:cs="Arial"/>
        </w:rPr>
        <w:t>charge</w:t>
      </w:r>
      <w:r w:rsidR="00C17610">
        <w:rPr>
          <w:rFonts w:ascii="Arial" w:hAnsi="Arial" w:cs="Arial"/>
        </w:rPr>
        <w:t xml:space="preserve"> at all</w:t>
      </w:r>
      <w:r>
        <w:rPr>
          <w:rFonts w:ascii="Arial" w:hAnsi="Arial" w:cs="Arial"/>
        </w:rPr>
        <w:t xml:space="preserve">, essentially </w:t>
      </w:r>
      <w:r w:rsidR="00765DB8">
        <w:rPr>
          <w:rFonts w:ascii="Arial" w:hAnsi="Arial" w:cs="Arial"/>
        </w:rPr>
        <w:t>on</w:t>
      </w:r>
      <w:r>
        <w:rPr>
          <w:rFonts w:ascii="Arial" w:hAnsi="Arial" w:cs="Arial"/>
        </w:rPr>
        <w:t xml:space="preserve"> the basis that the matter ought (it was submitted) to have been dealt with at the same time as the </w:t>
      </w:r>
      <w:r w:rsidR="00591BB7">
        <w:rPr>
          <w:rFonts w:ascii="Arial" w:hAnsi="Arial" w:cs="Arial"/>
        </w:rPr>
        <w:t xml:space="preserve">first </w:t>
      </w:r>
      <w:r>
        <w:rPr>
          <w:rFonts w:ascii="Arial" w:hAnsi="Arial" w:cs="Arial"/>
        </w:rPr>
        <w:t>charge.</w:t>
      </w:r>
      <w:r w:rsidR="00765DB8">
        <w:rPr>
          <w:rFonts w:ascii="Arial" w:hAnsi="Arial" w:cs="Arial"/>
        </w:rPr>
        <w:t xml:space="preserve"> Counsel submitted that </w:t>
      </w:r>
      <w:r w:rsidR="00591BB7">
        <w:rPr>
          <w:rFonts w:ascii="Arial" w:hAnsi="Arial" w:cs="Arial"/>
        </w:rPr>
        <w:t>the respondent is prejudiced by</w:t>
      </w:r>
      <w:r w:rsidR="00765DB8">
        <w:rPr>
          <w:rFonts w:ascii="Arial" w:hAnsi="Arial" w:cs="Arial"/>
        </w:rPr>
        <w:t xml:space="preserve"> the </w:t>
      </w:r>
      <w:r w:rsidR="00AB6C6F">
        <w:rPr>
          <w:rFonts w:ascii="Arial" w:hAnsi="Arial" w:cs="Arial"/>
        </w:rPr>
        <w:t>PCC</w:t>
      </w:r>
      <w:r w:rsidR="00765DB8">
        <w:rPr>
          <w:rFonts w:ascii="Arial" w:hAnsi="Arial" w:cs="Arial"/>
        </w:rPr>
        <w:t xml:space="preserve"> not prosecuting the charge when it came to </w:t>
      </w:r>
      <w:r w:rsidR="00AB6C6F">
        <w:rPr>
          <w:rFonts w:ascii="Arial" w:hAnsi="Arial" w:cs="Arial"/>
        </w:rPr>
        <w:t xml:space="preserve">its </w:t>
      </w:r>
      <w:r w:rsidR="00765DB8">
        <w:rPr>
          <w:rFonts w:ascii="Arial" w:hAnsi="Arial" w:cs="Arial"/>
        </w:rPr>
        <w:t>attention in 2022</w:t>
      </w:r>
      <w:r w:rsidR="00591BB7">
        <w:rPr>
          <w:rFonts w:ascii="Arial" w:hAnsi="Arial" w:cs="Arial"/>
        </w:rPr>
        <w:t>,</w:t>
      </w:r>
      <w:r w:rsidR="00AB6C6F">
        <w:rPr>
          <w:rFonts w:ascii="Arial" w:hAnsi="Arial" w:cs="Arial"/>
        </w:rPr>
        <w:t xml:space="preserve"> and we should take no further action.</w:t>
      </w:r>
    </w:p>
    <w:p w14:paraId="1F62327C" w14:textId="77777777" w:rsidR="00E6648E" w:rsidRPr="00E6648E" w:rsidRDefault="00E6648E" w:rsidP="00E6648E">
      <w:pPr>
        <w:pStyle w:val="ListParagraph"/>
        <w:rPr>
          <w:rFonts w:ascii="Arial" w:hAnsi="Arial" w:cs="Arial"/>
        </w:rPr>
      </w:pPr>
    </w:p>
    <w:p w14:paraId="17CE53E0" w14:textId="6BB66DCC" w:rsidR="00765DB8" w:rsidRDefault="00765DB8" w:rsidP="009417F6">
      <w:pPr>
        <w:pStyle w:val="ListParagraph"/>
        <w:numPr>
          <w:ilvl w:val="0"/>
          <w:numId w:val="18"/>
        </w:numPr>
        <w:spacing w:after="240" w:line="360" w:lineRule="auto"/>
        <w:jc w:val="both"/>
        <w:rPr>
          <w:rFonts w:ascii="Arial" w:hAnsi="Arial" w:cs="Arial"/>
        </w:rPr>
      </w:pPr>
      <w:r>
        <w:rPr>
          <w:rFonts w:ascii="Arial" w:hAnsi="Arial" w:cs="Arial"/>
        </w:rPr>
        <w:t>Section 75(3) of the Act states:</w:t>
      </w:r>
    </w:p>
    <w:p w14:paraId="29A5D38C" w14:textId="77777777" w:rsidR="00765DB8" w:rsidRPr="00765DB8" w:rsidRDefault="00765DB8" w:rsidP="00765DB8">
      <w:pPr>
        <w:pStyle w:val="ListParagraph"/>
        <w:rPr>
          <w:rFonts w:ascii="Arial" w:hAnsi="Arial" w:cs="Arial"/>
        </w:rPr>
      </w:pPr>
    </w:p>
    <w:p w14:paraId="0D3E49E7" w14:textId="55CCFA98" w:rsidR="00765DB8" w:rsidRDefault="00765DB8" w:rsidP="00765DB8">
      <w:pPr>
        <w:pStyle w:val="ListParagraph"/>
        <w:spacing w:after="240" w:line="360" w:lineRule="auto"/>
        <w:ind w:left="1440"/>
        <w:jc w:val="both"/>
        <w:rPr>
          <w:rFonts w:ascii="Arial" w:hAnsi="Arial" w:cs="Arial"/>
        </w:rPr>
      </w:pPr>
      <w:r w:rsidRPr="00E12470">
        <w:rPr>
          <w:rFonts w:ascii="Arial" w:hAnsi="Arial" w:cs="Arial"/>
          <w:sz w:val="20"/>
          <w:szCs w:val="20"/>
        </w:rPr>
        <w:t>As soon as reasonably practicable after a charge is laid before the Tribunal, its Chairperson must convene a hearing to consider the charge</w:t>
      </w:r>
      <w:r>
        <w:rPr>
          <w:rFonts w:ascii="Arial" w:hAnsi="Arial" w:cs="Arial"/>
        </w:rPr>
        <w:t>.</w:t>
      </w:r>
    </w:p>
    <w:p w14:paraId="617487A6" w14:textId="77777777" w:rsidR="00765DB8" w:rsidRPr="00765DB8" w:rsidRDefault="00765DB8" w:rsidP="00765DB8">
      <w:pPr>
        <w:pStyle w:val="ListParagraph"/>
        <w:rPr>
          <w:rFonts w:ascii="Arial" w:hAnsi="Arial" w:cs="Arial"/>
        </w:rPr>
      </w:pPr>
    </w:p>
    <w:p w14:paraId="1514640D" w14:textId="61682C47" w:rsidR="00E6648E" w:rsidRPr="00765DB8" w:rsidRDefault="00E6648E" w:rsidP="00765DB8">
      <w:pPr>
        <w:pStyle w:val="ListParagraph"/>
        <w:numPr>
          <w:ilvl w:val="0"/>
          <w:numId w:val="18"/>
        </w:numPr>
        <w:spacing w:after="240" w:line="360" w:lineRule="auto"/>
        <w:jc w:val="both"/>
        <w:rPr>
          <w:rFonts w:ascii="Arial" w:hAnsi="Arial" w:cs="Arial"/>
        </w:rPr>
      </w:pPr>
      <w:r>
        <w:rPr>
          <w:rFonts w:ascii="Arial" w:hAnsi="Arial" w:cs="Arial"/>
        </w:rPr>
        <w:t>It is possible that the prosecutor may seek</w:t>
      </w:r>
      <w:r w:rsidR="003D2FF0">
        <w:rPr>
          <w:rFonts w:ascii="Arial" w:hAnsi="Arial" w:cs="Arial"/>
        </w:rPr>
        <w:t xml:space="preserve"> leave</w:t>
      </w:r>
      <w:r>
        <w:rPr>
          <w:rFonts w:ascii="Arial" w:hAnsi="Arial" w:cs="Arial"/>
        </w:rPr>
        <w:t xml:space="preserve"> to withdraw a charge </w:t>
      </w:r>
      <w:r w:rsidR="00AB6C6F">
        <w:rPr>
          <w:rFonts w:ascii="Arial" w:hAnsi="Arial" w:cs="Arial"/>
        </w:rPr>
        <w:t xml:space="preserve">and that the Tribunal will consider </w:t>
      </w:r>
      <w:r w:rsidR="003D2FF0">
        <w:rPr>
          <w:rFonts w:ascii="Arial" w:hAnsi="Arial" w:cs="Arial"/>
        </w:rPr>
        <w:t xml:space="preserve">whether </w:t>
      </w:r>
      <w:r w:rsidR="00AB6C6F">
        <w:rPr>
          <w:rFonts w:ascii="Arial" w:hAnsi="Arial" w:cs="Arial"/>
        </w:rPr>
        <w:t xml:space="preserve">such application </w:t>
      </w:r>
      <w:r w:rsidR="003D2FF0">
        <w:rPr>
          <w:rFonts w:ascii="Arial" w:hAnsi="Arial" w:cs="Arial"/>
        </w:rPr>
        <w:t xml:space="preserve">is appropriate </w:t>
      </w:r>
      <w:r w:rsidR="00AB6C6F">
        <w:rPr>
          <w:rFonts w:ascii="Arial" w:hAnsi="Arial" w:cs="Arial"/>
        </w:rPr>
        <w:t xml:space="preserve">in reliance on its </w:t>
      </w:r>
      <w:r w:rsidR="003D2FF0">
        <w:rPr>
          <w:rFonts w:ascii="Arial" w:hAnsi="Arial" w:cs="Arial"/>
        </w:rPr>
        <w:t xml:space="preserve">ability to regulate its procedure </w:t>
      </w:r>
      <w:r w:rsidR="00AB6C6F">
        <w:rPr>
          <w:rFonts w:ascii="Arial" w:hAnsi="Arial" w:cs="Arial"/>
        </w:rPr>
        <w:t>under Schedule 2 of the Act</w:t>
      </w:r>
      <w:r w:rsidR="003D2FF0">
        <w:rPr>
          <w:rFonts w:ascii="Arial" w:hAnsi="Arial" w:cs="Arial"/>
        </w:rPr>
        <w:t>. Tha</w:t>
      </w:r>
      <w:r>
        <w:rPr>
          <w:rFonts w:ascii="Arial" w:hAnsi="Arial" w:cs="Arial"/>
        </w:rPr>
        <w:t>t was not the case here.</w:t>
      </w:r>
      <w:r w:rsidR="00765DB8">
        <w:rPr>
          <w:rFonts w:ascii="Arial" w:hAnsi="Arial" w:cs="Arial"/>
        </w:rPr>
        <w:t xml:space="preserve"> </w:t>
      </w:r>
      <w:r w:rsidR="003D2FF0">
        <w:rPr>
          <w:rFonts w:ascii="Arial" w:hAnsi="Arial" w:cs="Arial"/>
        </w:rPr>
        <w:t xml:space="preserve">Nor is it </w:t>
      </w:r>
      <w:r w:rsidR="00765DB8">
        <w:rPr>
          <w:rFonts w:ascii="Arial" w:hAnsi="Arial" w:cs="Arial"/>
        </w:rPr>
        <w:t xml:space="preserve">the role of the Tribunal to review the decision of the </w:t>
      </w:r>
      <w:r w:rsidR="00656B94">
        <w:rPr>
          <w:rFonts w:ascii="Arial" w:hAnsi="Arial" w:cs="Arial"/>
        </w:rPr>
        <w:t>PCC</w:t>
      </w:r>
      <w:r w:rsidR="00765DB8">
        <w:rPr>
          <w:rFonts w:ascii="Arial" w:hAnsi="Arial" w:cs="Arial"/>
        </w:rPr>
        <w:t xml:space="preserve"> to investigate and lay a charge. </w:t>
      </w:r>
    </w:p>
    <w:p w14:paraId="23110217" w14:textId="77777777" w:rsidR="00E6648E" w:rsidRPr="00E6648E" w:rsidRDefault="00E6648E" w:rsidP="00E6648E">
      <w:pPr>
        <w:pStyle w:val="ListParagraph"/>
        <w:rPr>
          <w:rFonts w:ascii="Arial" w:hAnsi="Arial" w:cs="Arial"/>
        </w:rPr>
      </w:pPr>
    </w:p>
    <w:p w14:paraId="57B004D5" w14:textId="1E373758" w:rsidR="003D2FF0" w:rsidRDefault="00336E04" w:rsidP="001A3F6F">
      <w:pPr>
        <w:pStyle w:val="ListParagraph"/>
        <w:numPr>
          <w:ilvl w:val="0"/>
          <w:numId w:val="18"/>
        </w:numPr>
        <w:spacing w:after="240" w:line="360" w:lineRule="auto"/>
        <w:jc w:val="both"/>
        <w:rPr>
          <w:rFonts w:ascii="Arial" w:hAnsi="Arial" w:cs="Arial"/>
        </w:rPr>
      </w:pPr>
      <w:r>
        <w:rPr>
          <w:rFonts w:ascii="Arial" w:hAnsi="Arial" w:cs="Arial"/>
        </w:rPr>
        <w:t xml:space="preserve">Section 82 of the Act </w:t>
      </w:r>
      <w:r w:rsidR="001A3F6F">
        <w:rPr>
          <w:rFonts w:ascii="Arial" w:hAnsi="Arial" w:cs="Arial"/>
        </w:rPr>
        <w:t xml:space="preserve">sets out the grounds on which the Tribunal may make orders. </w:t>
      </w:r>
      <w:r w:rsidR="003D2FF0">
        <w:rPr>
          <w:rFonts w:ascii="Arial" w:hAnsi="Arial" w:cs="Arial"/>
        </w:rPr>
        <w:t>Pursuant to s</w:t>
      </w:r>
      <w:r w:rsidR="00CC229D">
        <w:rPr>
          <w:rFonts w:ascii="Arial" w:hAnsi="Arial" w:cs="Arial"/>
        </w:rPr>
        <w:t xml:space="preserve"> </w:t>
      </w:r>
      <w:r w:rsidR="003D2FF0">
        <w:rPr>
          <w:rFonts w:ascii="Arial" w:hAnsi="Arial" w:cs="Arial"/>
        </w:rPr>
        <w:t>82(1)(c) t</w:t>
      </w:r>
      <w:r w:rsidR="001A3F6F">
        <w:rPr>
          <w:rFonts w:ascii="Arial" w:hAnsi="Arial" w:cs="Arial"/>
        </w:rPr>
        <w:t>he grounds for discipline include circumstances in which</w:t>
      </w:r>
      <w:r w:rsidR="003D2FF0">
        <w:rPr>
          <w:rFonts w:ascii="Arial" w:hAnsi="Arial" w:cs="Arial"/>
        </w:rPr>
        <w:t>:</w:t>
      </w:r>
    </w:p>
    <w:p w14:paraId="16B6540C" w14:textId="77777777" w:rsidR="003D2FF0" w:rsidRPr="003D2FF0" w:rsidRDefault="003D2FF0" w:rsidP="003D2FF0">
      <w:pPr>
        <w:pStyle w:val="ListParagraph"/>
        <w:rPr>
          <w:rFonts w:ascii="Arial" w:hAnsi="Arial" w:cs="Arial"/>
        </w:rPr>
      </w:pPr>
    </w:p>
    <w:p w14:paraId="72903BDB" w14:textId="29775C00" w:rsidR="003D2FF0" w:rsidRDefault="00336E04" w:rsidP="003D2FF0">
      <w:pPr>
        <w:pStyle w:val="ListParagraph"/>
        <w:numPr>
          <w:ilvl w:val="1"/>
          <w:numId w:val="18"/>
        </w:numPr>
        <w:spacing w:after="240" w:line="360" w:lineRule="auto"/>
        <w:jc w:val="both"/>
        <w:rPr>
          <w:rFonts w:ascii="Arial" w:hAnsi="Arial" w:cs="Arial"/>
        </w:rPr>
      </w:pPr>
      <w:r>
        <w:rPr>
          <w:rFonts w:ascii="Arial" w:hAnsi="Arial" w:cs="Arial"/>
        </w:rPr>
        <w:t xml:space="preserve">a </w:t>
      </w:r>
      <w:r w:rsidR="001A3F6F">
        <w:rPr>
          <w:rFonts w:ascii="Arial" w:hAnsi="Arial" w:cs="Arial"/>
        </w:rPr>
        <w:t>registered social worker has been convicted of an offence that is punishable by imprisonment for a term of three months or longer</w:t>
      </w:r>
      <w:r w:rsidR="00CC229D">
        <w:rPr>
          <w:rFonts w:ascii="Arial" w:hAnsi="Arial" w:cs="Arial"/>
        </w:rPr>
        <w:t>,</w:t>
      </w:r>
      <w:r w:rsidR="001A3F6F">
        <w:rPr>
          <w:rFonts w:ascii="Arial" w:hAnsi="Arial" w:cs="Arial"/>
        </w:rPr>
        <w:t xml:space="preserve"> and </w:t>
      </w:r>
    </w:p>
    <w:p w14:paraId="396C0424" w14:textId="77777777" w:rsidR="003D2FF0" w:rsidRDefault="003D2FF0" w:rsidP="003D2FF0">
      <w:pPr>
        <w:pStyle w:val="ListParagraph"/>
        <w:spacing w:after="240" w:line="360" w:lineRule="auto"/>
        <w:ind w:left="1440"/>
        <w:jc w:val="both"/>
        <w:rPr>
          <w:rFonts w:ascii="Arial" w:hAnsi="Arial" w:cs="Arial"/>
        </w:rPr>
      </w:pPr>
    </w:p>
    <w:p w14:paraId="1FC3F82F" w14:textId="73622C54" w:rsidR="00A3515F" w:rsidRDefault="001A3F6F" w:rsidP="003D2FF0">
      <w:pPr>
        <w:pStyle w:val="ListParagraph"/>
        <w:numPr>
          <w:ilvl w:val="1"/>
          <w:numId w:val="18"/>
        </w:numPr>
        <w:spacing w:after="240" w:line="360" w:lineRule="auto"/>
        <w:jc w:val="both"/>
        <w:rPr>
          <w:rFonts w:ascii="Arial" w:hAnsi="Arial" w:cs="Arial"/>
        </w:rPr>
      </w:pPr>
      <w:r>
        <w:rPr>
          <w:rFonts w:ascii="Arial" w:hAnsi="Arial" w:cs="Arial"/>
        </w:rPr>
        <w:t>that offence was committed in circumstances that reflect adversely on the social worker’s fitness to practise as a social worker</w:t>
      </w:r>
      <w:r w:rsidR="003D2FF0">
        <w:rPr>
          <w:rFonts w:ascii="Arial" w:hAnsi="Arial" w:cs="Arial"/>
        </w:rPr>
        <w:t>.</w:t>
      </w:r>
    </w:p>
    <w:p w14:paraId="64F38D8A" w14:textId="77777777" w:rsidR="001A3F6F" w:rsidRPr="001A3F6F" w:rsidRDefault="001A3F6F" w:rsidP="001A3F6F">
      <w:pPr>
        <w:pStyle w:val="ListParagraph"/>
        <w:rPr>
          <w:rFonts w:ascii="Arial" w:hAnsi="Arial" w:cs="Arial"/>
        </w:rPr>
      </w:pPr>
    </w:p>
    <w:p w14:paraId="6C99D7AA" w14:textId="162F2F50" w:rsidR="001A3F6F" w:rsidRPr="001A3F6F" w:rsidRDefault="001A3F6F" w:rsidP="001A3F6F">
      <w:pPr>
        <w:pStyle w:val="ListParagraph"/>
        <w:numPr>
          <w:ilvl w:val="0"/>
          <w:numId w:val="18"/>
        </w:numPr>
        <w:spacing w:after="240" w:line="360" w:lineRule="auto"/>
        <w:jc w:val="both"/>
        <w:rPr>
          <w:rFonts w:ascii="Arial" w:hAnsi="Arial" w:cs="Arial"/>
        </w:rPr>
      </w:pPr>
      <w:r>
        <w:rPr>
          <w:rFonts w:ascii="Arial" w:hAnsi="Arial" w:cs="Arial"/>
        </w:rPr>
        <w:t xml:space="preserve">The offences for which the respondent was convicted under s 22 of the HDC Act </w:t>
      </w:r>
      <w:r w:rsidR="00CC229D">
        <w:rPr>
          <w:rFonts w:ascii="Arial" w:hAnsi="Arial" w:cs="Arial"/>
        </w:rPr>
        <w:t xml:space="preserve">2015 </w:t>
      </w:r>
      <w:r>
        <w:rPr>
          <w:rFonts w:ascii="Arial" w:hAnsi="Arial" w:cs="Arial"/>
        </w:rPr>
        <w:t>are qualifying offences in that they carry a maximum penalty of two years’ imprisonment (or a fine not exceeding $50,000).</w:t>
      </w:r>
    </w:p>
    <w:p w14:paraId="732FE747" w14:textId="77777777" w:rsidR="00A3515F" w:rsidRPr="00325559" w:rsidRDefault="00A3515F" w:rsidP="00A3515F">
      <w:pPr>
        <w:pStyle w:val="ListParagraph"/>
        <w:rPr>
          <w:rFonts w:ascii="Arial" w:hAnsi="Arial" w:cs="Arial"/>
        </w:rPr>
      </w:pPr>
    </w:p>
    <w:p w14:paraId="253B5918" w14:textId="2AA3DDEF" w:rsidR="00A3515F" w:rsidRDefault="003D2FF0" w:rsidP="009417F6">
      <w:pPr>
        <w:pStyle w:val="ListParagraph"/>
        <w:numPr>
          <w:ilvl w:val="0"/>
          <w:numId w:val="18"/>
        </w:numPr>
        <w:spacing w:after="240" w:line="360" w:lineRule="auto"/>
        <w:jc w:val="both"/>
        <w:rPr>
          <w:rFonts w:ascii="Arial" w:hAnsi="Arial" w:cs="Arial"/>
        </w:rPr>
      </w:pPr>
      <w:r>
        <w:rPr>
          <w:rFonts w:ascii="Arial" w:hAnsi="Arial" w:cs="Arial"/>
        </w:rPr>
        <w:t>As to t</w:t>
      </w:r>
      <w:r w:rsidR="001A3F6F">
        <w:rPr>
          <w:rFonts w:ascii="Arial" w:hAnsi="Arial" w:cs="Arial"/>
        </w:rPr>
        <w:t>he second limb of s 82</w:t>
      </w:r>
      <w:r w:rsidR="006B305E">
        <w:rPr>
          <w:rFonts w:ascii="Arial" w:hAnsi="Arial" w:cs="Arial"/>
        </w:rPr>
        <w:t>(1)(c), fitness</w:t>
      </w:r>
      <w:r>
        <w:rPr>
          <w:rFonts w:ascii="Arial" w:hAnsi="Arial" w:cs="Arial"/>
        </w:rPr>
        <w:t xml:space="preserve"> </w:t>
      </w:r>
      <w:r w:rsidR="006B305E">
        <w:rPr>
          <w:rFonts w:ascii="Arial" w:hAnsi="Arial" w:cs="Arial"/>
        </w:rPr>
        <w:t xml:space="preserve">to practise is not defined by the Act. </w:t>
      </w:r>
      <w:r w:rsidR="000F1F81">
        <w:rPr>
          <w:rFonts w:ascii="Arial" w:hAnsi="Arial" w:cs="Arial"/>
        </w:rPr>
        <w:t>G</w:t>
      </w:r>
      <w:r w:rsidR="006B305E">
        <w:rPr>
          <w:rFonts w:ascii="Arial" w:hAnsi="Arial" w:cs="Arial"/>
        </w:rPr>
        <w:t>uidance</w:t>
      </w:r>
      <w:r w:rsidR="000F1F81">
        <w:rPr>
          <w:rFonts w:ascii="Arial" w:hAnsi="Arial" w:cs="Arial"/>
        </w:rPr>
        <w:t xml:space="preserve"> is</w:t>
      </w:r>
      <w:r w:rsidR="006B305E">
        <w:rPr>
          <w:rFonts w:ascii="Arial" w:hAnsi="Arial" w:cs="Arial"/>
        </w:rPr>
        <w:t xml:space="preserve"> available in authorities in this and other professional disciplinary jurisdictions.</w:t>
      </w:r>
      <w:r w:rsidR="00765DB8">
        <w:rPr>
          <w:rFonts w:ascii="Arial" w:hAnsi="Arial" w:cs="Arial"/>
        </w:rPr>
        <w:t xml:space="preserve"> Counsel for the </w:t>
      </w:r>
      <w:r w:rsidR="00656B94">
        <w:rPr>
          <w:rFonts w:ascii="Arial" w:hAnsi="Arial" w:cs="Arial"/>
        </w:rPr>
        <w:t>PCC</w:t>
      </w:r>
      <w:r w:rsidR="00765DB8">
        <w:rPr>
          <w:rFonts w:ascii="Arial" w:hAnsi="Arial" w:cs="Arial"/>
        </w:rPr>
        <w:t xml:space="preserve"> referred to this Tribunal’s decision in </w:t>
      </w:r>
      <w:r w:rsidR="00765DB8" w:rsidRPr="003D2FF0">
        <w:rPr>
          <w:rFonts w:ascii="Arial" w:hAnsi="Arial" w:cs="Arial"/>
          <w:i/>
          <w:iCs/>
        </w:rPr>
        <w:t>Hanley</w:t>
      </w:r>
      <w:r w:rsidR="00765DB8">
        <w:rPr>
          <w:rStyle w:val="FootnoteReference"/>
          <w:rFonts w:ascii="Arial" w:hAnsi="Arial" w:cs="Arial"/>
        </w:rPr>
        <w:footnoteReference w:id="6"/>
      </w:r>
      <w:r w:rsidR="000132F1">
        <w:rPr>
          <w:rFonts w:ascii="Arial" w:hAnsi="Arial" w:cs="Arial"/>
          <w:i/>
          <w:iCs/>
        </w:rPr>
        <w:t xml:space="preserve"> </w:t>
      </w:r>
      <w:r w:rsidR="00E74053">
        <w:rPr>
          <w:rFonts w:ascii="Arial" w:hAnsi="Arial" w:cs="Arial"/>
        </w:rPr>
        <w:t>as confirming that the requirement to consider the circumstances of the charge does not mean that we must find that the practitioner is in fact unfit to practise. Rather the Tribunal should be satisfied that the conduct is:</w:t>
      </w:r>
    </w:p>
    <w:p w14:paraId="08F49052" w14:textId="77777777" w:rsidR="00E74053" w:rsidRPr="00E74053" w:rsidRDefault="00E74053" w:rsidP="00E74053">
      <w:pPr>
        <w:pStyle w:val="ListParagraph"/>
        <w:rPr>
          <w:rFonts w:ascii="Arial" w:hAnsi="Arial" w:cs="Arial"/>
        </w:rPr>
      </w:pPr>
    </w:p>
    <w:p w14:paraId="3B7B6C3F" w14:textId="296542C0" w:rsidR="00E74053" w:rsidRPr="00CC229D" w:rsidRDefault="00E74053" w:rsidP="00E74053">
      <w:pPr>
        <w:pStyle w:val="ListParagraph"/>
        <w:spacing w:after="240" w:line="360" w:lineRule="auto"/>
        <w:ind w:left="1440"/>
        <w:jc w:val="both"/>
        <w:rPr>
          <w:rFonts w:ascii="Arial" w:hAnsi="Arial" w:cs="Arial"/>
          <w:sz w:val="20"/>
          <w:szCs w:val="20"/>
        </w:rPr>
      </w:pPr>
      <w:r w:rsidRPr="00CC229D">
        <w:rPr>
          <w:rFonts w:ascii="Arial" w:hAnsi="Arial" w:cs="Arial"/>
          <w:sz w:val="20"/>
          <w:szCs w:val="20"/>
        </w:rPr>
        <w:t xml:space="preserve">Of a kind that is inconsistent with what might be expected from a practitioner who acts in compliance with the standards normally observed by those </w:t>
      </w:r>
      <w:r w:rsidR="00A732C7" w:rsidRPr="00CC229D">
        <w:rPr>
          <w:rFonts w:ascii="Arial" w:hAnsi="Arial" w:cs="Arial"/>
          <w:sz w:val="20"/>
          <w:szCs w:val="20"/>
        </w:rPr>
        <w:t>who are fit to practise medicine. Not every divergence from recognised standards will reflect adversely on a practitioner’s fitness to practise. It is a matter of degree.</w:t>
      </w:r>
      <w:r w:rsidR="00CC229D">
        <w:rPr>
          <w:rStyle w:val="FootnoteReference"/>
          <w:rFonts w:ascii="Arial" w:hAnsi="Arial" w:cs="Arial"/>
          <w:sz w:val="20"/>
          <w:szCs w:val="20"/>
        </w:rPr>
        <w:footnoteReference w:id="7"/>
      </w:r>
    </w:p>
    <w:p w14:paraId="43E8F085" w14:textId="77777777" w:rsidR="00E74053" w:rsidRPr="00E74053" w:rsidRDefault="00E74053" w:rsidP="00E74053">
      <w:pPr>
        <w:pStyle w:val="ListParagraph"/>
        <w:rPr>
          <w:rFonts w:ascii="Arial" w:hAnsi="Arial" w:cs="Arial"/>
        </w:rPr>
      </w:pPr>
    </w:p>
    <w:p w14:paraId="228F8951" w14:textId="757A311E" w:rsidR="00336E04" w:rsidRDefault="00336E04" w:rsidP="009417F6">
      <w:pPr>
        <w:pStyle w:val="ListParagraph"/>
        <w:numPr>
          <w:ilvl w:val="0"/>
          <w:numId w:val="18"/>
        </w:numPr>
        <w:spacing w:after="240" w:line="360" w:lineRule="auto"/>
        <w:jc w:val="both"/>
        <w:rPr>
          <w:rFonts w:ascii="Arial" w:hAnsi="Arial" w:cs="Arial"/>
        </w:rPr>
      </w:pPr>
      <w:r>
        <w:rPr>
          <w:rFonts w:ascii="Arial" w:hAnsi="Arial" w:cs="Arial"/>
        </w:rPr>
        <w:t xml:space="preserve">It is also well established that fitness to practise can encompass matters that fall outside a social worker’s workplace or professional practise. This is consistent with the approach to fitness that is taken in other professional jurisdictions. </w:t>
      </w:r>
    </w:p>
    <w:p w14:paraId="0A637EC8" w14:textId="77777777" w:rsidR="00336E04" w:rsidRDefault="00336E04" w:rsidP="00336E04">
      <w:pPr>
        <w:pStyle w:val="ListParagraph"/>
        <w:spacing w:after="240" w:line="360" w:lineRule="auto"/>
        <w:jc w:val="both"/>
        <w:rPr>
          <w:rFonts w:ascii="Arial" w:hAnsi="Arial" w:cs="Arial"/>
        </w:rPr>
      </w:pPr>
    </w:p>
    <w:p w14:paraId="62F40530" w14:textId="0596F806" w:rsidR="00A732C7" w:rsidRDefault="00336E04" w:rsidP="009417F6">
      <w:pPr>
        <w:pStyle w:val="ListParagraph"/>
        <w:numPr>
          <w:ilvl w:val="0"/>
          <w:numId w:val="18"/>
        </w:numPr>
        <w:spacing w:after="240" w:line="360" w:lineRule="auto"/>
        <w:jc w:val="both"/>
        <w:rPr>
          <w:rFonts w:ascii="Arial" w:hAnsi="Arial" w:cs="Arial"/>
        </w:rPr>
      </w:pPr>
      <w:r>
        <w:rPr>
          <w:rFonts w:ascii="Arial" w:hAnsi="Arial" w:cs="Arial"/>
        </w:rPr>
        <w:t xml:space="preserve">It is also consistent with the </w:t>
      </w:r>
      <w:r w:rsidR="00B724CE">
        <w:rPr>
          <w:rFonts w:ascii="Arial" w:hAnsi="Arial" w:cs="Arial"/>
        </w:rPr>
        <w:t xml:space="preserve">Social Workers Registration Board </w:t>
      </w:r>
      <w:r w:rsidR="00A732C7">
        <w:rPr>
          <w:rFonts w:ascii="Arial" w:hAnsi="Arial" w:cs="Arial"/>
        </w:rPr>
        <w:t>Code of Conduct</w:t>
      </w:r>
      <w:r w:rsidR="00B724CE">
        <w:rPr>
          <w:rFonts w:ascii="Arial" w:hAnsi="Arial" w:cs="Arial"/>
        </w:rPr>
        <w:t xml:space="preserve"> (the Code)</w:t>
      </w:r>
      <w:r>
        <w:rPr>
          <w:rFonts w:ascii="Arial" w:hAnsi="Arial" w:cs="Arial"/>
        </w:rPr>
        <w:t>, which</w:t>
      </w:r>
      <w:r w:rsidR="00A732C7">
        <w:rPr>
          <w:rFonts w:ascii="Arial" w:hAnsi="Arial" w:cs="Arial"/>
        </w:rPr>
        <w:t xml:space="preserve"> </w:t>
      </w:r>
      <w:r w:rsidR="000132F1">
        <w:rPr>
          <w:rFonts w:ascii="Arial" w:hAnsi="Arial" w:cs="Arial"/>
        </w:rPr>
        <w:t xml:space="preserve">exemplifies </w:t>
      </w:r>
      <w:r w:rsidR="00A732C7">
        <w:rPr>
          <w:rFonts w:ascii="Arial" w:hAnsi="Arial" w:cs="Arial"/>
        </w:rPr>
        <w:t xml:space="preserve">the </w:t>
      </w:r>
      <w:r w:rsidR="000132F1">
        <w:rPr>
          <w:rFonts w:ascii="Arial" w:hAnsi="Arial" w:cs="Arial"/>
        </w:rPr>
        <w:t>broad</w:t>
      </w:r>
      <w:r w:rsidR="00A732C7">
        <w:rPr>
          <w:rFonts w:ascii="Arial" w:hAnsi="Arial" w:cs="Arial"/>
        </w:rPr>
        <w:t xml:space="preserve"> responsibility that social workers have to their immediate clients and whānau, </w:t>
      </w:r>
      <w:r w:rsidR="00705F26">
        <w:rPr>
          <w:rFonts w:ascii="Arial" w:hAnsi="Arial" w:cs="Arial"/>
        </w:rPr>
        <w:t xml:space="preserve">colleagues, </w:t>
      </w:r>
      <w:r w:rsidR="00A732C7">
        <w:rPr>
          <w:rFonts w:ascii="Arial" w:hAnsi="Arial" w:cs="Arial"/>
        </w:rPr>
        <w:t xml:space="preserve">the profession and the wider community. </w:t>
      </w:r>
      <w:r w:rsidR="00D52926">
        <w:rPr>
          <w:rFonts w:ascii="Arial" w:hAnsi="Arial" w:cs="Arial"/>
        </w:rPr>
        <w:t>C</w:t>
      </w:r>
      <w:r w:rsidR="00A732C7">
        <w:rPr>
          <w:rFonts w:ascii="Arial" w:hAnsi="Arial" w:cs="Arial"/>
        </w:rPr>
        <w:t xml:space="preserve">ounsel for the </w:t>
      </w:r>
      <w:r w:rsidR="00656B94">
        <w:rPr>
          <w:rFonts w:ascii="Arial" w:hAnsi="Arial" w:cs="Arial"/>
        </w:rPr>
        <w:t>PCC</w:t>
      </w:r>
      <w:r w:rsidR="00A732C7">
        <w:rPr>
          <w:rFonts w:ascii="Arial" w:hAnsi="Arial" w:cs="Arial"/>
        </w:rPr>
        <w:t xml:space="preserve"> </w:t>
      </w:r>
      <w:r w:rsidR="00D52926">
        <w:rPr>
          <w:rFonts w:ascii="Arial" w:hAnsi="Arial" w:cs="Arial"/>
        </w:rPr>
        <w:t>referred to gui</w:t>
      </w:r>
      <w:r w:rsidR="000F1F81">
        <w:rPr>
          <w:rFonts w:ascii="Arial" w:hAnsi="Arial" w:cs="Arial"/>
        </w:rPr>
        <w:t xml:space="preserve">dance on </w:t>
      </w:r>
      <w:r w:rsidR="000132F1">
        <w:rPr>
          <w:rFonts w:ascii="Arial" w:hAnsi="Arial" w:cs="Arial"/>
        </w:rPr>
        <w:t xml:space="preserve">the expectations for </w:t>
      </w:r>
      <w:r w:rsidR="000F1F81">
        <w:rPr>
          <w:rFonts w:ascii="Arial" w:hAnsi="Arial" w:cs="Arial"/>
        </w:rPr>
        <w:t xml:space="preserve">communication with colleagues, and </w:t>
      </w:r>
      <w:r w:rsidR="00D52926">
        <w:rPr>
          <w:rFonts w:ascii="Arial" w:hAnsi="Arial" w:cs="Arial"/>
        </w:rPr>
        <w:t xml:space="preserve">references to the application of the Code to </w:t>
      </w:r>
      <w:r w:rsidR="000F1F81">
        <w:rPr>
          <w:rFonts w:ascii="Arial" w:hAnsi="Arial" w:cs="Arial"/>
        </w:rPr>
        <w:t xml:space="preserve">a social worker’s personal and professional life. Counsel highlighted </w:t>
      </w:r>
      <w:r w:rsidR="00E37EAC">
        <w:rPr>
          <w:rFonts w:ascii="Arial" w:hAnsi="Arial" w:cs="Arial"/>
        </w:rPr>
        <w:t>principles</w:t>
      </w:r>
      <w:r w:rsidR="000F1F81">
        <w:rPr>
          <w:rFonts w:ascii="Arial" w:hAnsi="Arial" w:cs="Arial"/>
        </w:rPr>
        <w:t xml:space="preserve"> 8.1, 8.3 and 8.4 as to courteous, respectful and constructive communication and </w:t>
      </w:r>
      <w:r w:rsidR="00E37EAC">
        <w:rPr>
          <w:rFonts w:ascii="Arial" w:hAnsi="Arial" w:cs="Arial"/>
        </w:rPr>
        <w:t>principle</w:t>
      </w:r>
      <w:r w:rsidR="000F1F81">
        <w:rPr>
          <w:rFonts w:ascii="Arial" w:hAnsi="Arial" w:cs="Arial"/>
        </w:rPr>
        <w:t xml:space="preserve"> 9.1</w:t>
      </w:r>
      <w:r w:rsidR="000132F1">
        <w:rPr>
          <w:rFonts w:ascii="Arial" w:hAnsi="Arial" w:cs="Arial"/>
        </w:rPr>
        <w:t>,</w:t>
      </w:r>
      <w:r w:rsidR="000F1F81">
        <w:rPr>
          <w:rFonts w:ascii="Arial" w:hAnsi="Arial" w:cs="Arial"/>
        </w:rPr>
        <w:t xml:space="preserve"> which requires social workers to:</w:t>
      </w:r>
    </w:p>
    <w:p w14:paraId="1660D7E7" w14:textId="77777777" w:rsidR="000F1F81" w:rsidRPr="000F1F81" w:rsidRDefault="000F1F81" w:rsidP="000F1F81">
      <w:pPr>
        <w:pStyle w:val="ListParagraph"/>
        <w:rPr>
          <w:rFonts w:ascii="Arial" w:hAnsi="Arial" w:cs="Arial"/>
        </w:rPr>
      </w:pPr>
    </w:p>
    <w:p w14:paraId="6F727E36" w14:textId="73CC46FC" w:rsidR="000F1F81" w:rsidRPr="00D00577" w:rsidRDefault="000F1F81" w:rsidP="000F1F81">
      <w:pPr>
        <w:pStyle w:val="ListParagraph"/>
        <w:spacing w:after="240" w:line="360" w:lineRule="auto"/>
        <w:ind w:left="1440"/>
        <w:jc w:val="both"/>
        <w:rPr>
          <w:rFonts w:ascii="Arial" w:hAnsi="Arial" w:cs="Arial"/>
          <w:sz w:val="20"/>
          <w:szCs w:val="20"/>
        </w:rPr>
      </w:pPr>
      <w:r w:rsidRPr="00D00577">
        <w:rPr>
          <w:rFonts w:ascii="Arial" w:hAnsi="Arial" w:cs="Arial"/>
          <w:sz w:val="20"/>
          <w:szCs w:val="20"/>
        </w:rPr>
        <w:t xml:space="preserve">Maintain a high standard of professional and personal behaviour – avoid activities, work or non-work that may in any way bring the social work profession into disrepute; the same standards of conduct are expected when using social media and electronic forms of communication. </w:t>
      </w:r>
    </w:p>
    <w:p w14:paraId="475FCDB2" w14:textId="77777777" w:rsidR="000132F1" w:rsidRDefault="000132F1" w:rsidP="000F1F81">
      <w:pPr>
        <w:pStyle w:val="ListParagraph"/>
        <w:spacing w:after="240" w:line="360" w:lineRule="auto"/>
        <w:ind w:left="1440"/>
        <w:jc w:val="both"/>
        <w:rPr>
          <w:rFonts w:ascii="Arial" w:hAnsi="Arial" w:cs="Arial"/>
        </w:rPr>
      </w:pPr>
    </w:p>
    <w:p w14:paraId="57756D3C" w14:textId="1368E177" w:rsidR="00B93266" w:rsidRPr="000132F1" w:rsidRDefault="000132F1" w:rsidP="000132F1">
      <w:pPr>
        <w:pStyle w:val="ListParagraph"/>
        <w:numPr>
          <w:ilvl w:val="0"/>
          <w:numId w:val="18"/>
        </w:numPr>
        <w:spacing w:after="240" w:line="360" w:lineRule="auto"/>
        <w:jc w:val="both"/>
        <w:rPr>
          <w:rFonts w:ascii="Arial" w:hAnsi="Arial" w:cs="Arial"/>
        </w:rPr>
      </w:pPr>
      <w:r>
        <w:rPr>
          <w:rFonts w:ascii="Arial" w:hAnsi="Arial" w:cs="Arial"/>
        </w:rPr>
        <w:t xml:space="preserve">Although the Act does not include a mandatory self-report </w:t>
      </w:r>
      <w:r w:rsidR="00D52926">
        <w:rPr>
          <w:rFonts w:ascii="Arial" w:hAnsi="Arial" w:cs="Arial"/>
        </w:rPr>
        <w:t xml:space="preserve">of convictions </w:t>
      </w:r>
      <w:r w:rsidR="00E37EAC">
        <w:rPr>
          <w:rFonts w:ascii="Arial" w:hAnsi="Arial" w:cs="Arial"/>
        </w:rPr>
        <w:t xml:space="preserve">by the social worker, </w:t>
      </w:r>
      <w:r>
        <w:rPr>
          <w:rFonts w:ascii="Arial" w:hAnsi="Arial" w:cs="Arial"/>
        </w:rPr>
        <w:t>it does r</w:t>
      </w:r>
      <w:r w:rsidR="00076EED" w:rsidRPr="000132F1">
        <w:rPr>
          <w:rFonts w:ascii="Arial" w:hAnsi="Arial" w:cs="Arial"/>
        </w:rPr>
        <w:t>equire</w:t>
      </w:r>
      <w:r>
        <w:rPr>
          <w:rFonts w:ascii="Arial" w:hAnsi="Arial" w:cs="Arial"/>
        </w:rPr>
        <w:t xml:space="preserve"> </w:t>
      </w:r>
      <w:r w:rsidR="00076EED" w:rsidRPr="000132F1">
        <w:rPr>
          <w:rFonts w:ascii="Arial" w:hAnsi="Arial" w:cs="Arial"/>
        </w:rPr>
        <w:t xml:space="preserve">that the Registrar of the </w:t>
      </w:r>
      <w:r w:rsidR="00D52926">
        <w:rPr>
          <w:rFonts w:ascii="Arial" w:hAnsi="Arial" w:cs="Arial"/>
        </w:rPr>
        <w:t>c</w:t>
      </w:r>
      <w:r w:rsidR="00076EED" w:rsidRPr="000132F1">
        <w:rPr>
          <w:rFonts w:ascii="Arial" w:hAnsi="Arial" w:cs="Arial"/>
        </w:rPr>
        <w:t xml:space="preserve">ourt notify the Board when a </w:t>
      </w:r>
      <w:r>
        <w:rPr>
          <w:rFonts w:ascii="Arial" w:hAnsi="Arial" w:cs="Arial"/>
        </w:rPr>
        <w:t xml:space="preserve">qualifying </w:t>
      </w:r>
      <w:r w:rsidR="00076EED" w:rsidRPr="000132F1">
        <w:rPr>
          <w:rFonts w:ascii="Arial" w:hAnsi="Arial" w:cs="Arial"/>
        </w:rPr>
        <w:t xml:space="preserve">conviction is entered: s </w:t>
      </w:r>
      <w:r w:rsidR="00B93266" w:rsidRPr="000132F1">
        <w:rPr>
          <w:rFonts w:ascii="Arial" w:hAnsi="Arial" w:cs="Arial"/>
        </w:rPr>
        <w:t>63</w:t>
      </w:r>
      <w:r w:rsidR="00076EED" w:rsidRPr="000132F1">
        <w:rPr>
          <w:rFonts w:ascii="Arial" w:hAnsi="Arial" w:cs="Arial"/>
        </w:rPr>
        <w:t>.</w:t>
      </w:r>
      <w:r>
        <w:rPr>
          <w:rFonts w:ascii="Arial" w:hAnsi="Arial" w:cs="Arial"/>
        </w:rPr>
        <w:t xml:space="preserve"> </w:t>
      </w:r>
      <w:r w:rsidR="006C0A7E">
        <w:rPr>
          <w:rFonts w:ascii="Arial" w:hAnsi="Arial" w:cs="Arial"/>
        </w:rPr>
        <w:t xml:space="preserve">This does not always happen and did not in this case. However, </w:t>
      </w:r>
      <w:r w:rsidR="00D52926">
        <w:rPr>
          <w:rFonts w:ascii="Arial" w:hAnsi="Arial" w:cs="Arial"/>
        </w:rPr>
        <w:t>p</w:t>
      </w:r>
      <w:r w:rsidR="00E37EAC">
        <w:rPr>
          <w:rFonts w:ascii="Arial" w:hAnsi="Arial" w:cs="Arial"/>
        </w:rPr>
        <w:t xml:space="preserve">rinciple </w:t>
      </w:r>
      <w:r w:rsidR="00076EED" w:rsidRPr="000132F1">
        <w:rPr>
          <w:rFonts w:ascii="Arial" w:hAnsi="Arial" w:cs="Arial"/>
        </w:rPr>
        <w:t>9.8 of the Code set</w:t>
      </w:r>
      <w:r w:rsidR="00E37EAC">
        <w:rPr>
          <w:rFonts w:ascii="Arial" w:hAnsi="Arial" w:cs="Arial"/>
        </w:rPr>
        <w:t>s</w:t>
      </w:r>
      <w:r w:rsidR="00076EED" w:rsidRPr="000132F1">
        <w:rPr>
          <w:rFonts w:ascii="Arial" w:hAnsi="Arial" w:cs="Arial"/>
        </w:rPr>
        <w:t xml:space="preserve"> out an expectation that if a social worker is </w:t>
      </w:r>
      <w:r w:rsidR="00E37EAC">
        <w:rPr>
          <w:rFonts w:ascii="Arial" w:hAnsi="Arial" w:cs="Arial"/>
        </w:rPr>
        <w:t>found guilty of a criminal offence</w:t>
      </w:r>
      <w:r w:rsidR="00D52926">
        <w:rPr>
          <w:rFonts w:ascii="Arial" w:hAnsi="Arial" w:cs="Arial"/>
        </w:rPr>
        <w:t>,</w:t>
      </w:r>
      <w:r w:rsidR="00E37EAC">
        <w:rPr>
          <w:rFonts w:ascii="Arial" w:hAnsi="Arial" w:cs="Arial"/>
        </w:rPr>
        <w:t xml:space="preserve"> they will notify the </w:t>
      </w:r>
      <w:r w:rsidR="006C0A7E">
        <w:rPr>
          <w:rFonts w:ascii="Arial" w:hAnsi="Arial" w:cs="Arial"/>
        </w:rPr>
        <w:t>B</w:t>
      </w:r>
      <w:r w:rsidR="00E37EAC">
        <w:rPr>
          <w:rFonts w:ascii="Arial" w:hAnsi="Arial" w:cs="Arial"/>
        </w:rPr>
        <w:t xml:space="preserve">oard </w:t>
      </w:r>
      <w:r w:rsidR="00336E04">
        <w:rPr>
          <w:rFonts w:ascii="Arial" w:hAnsi="Arial" w:cs="Arial"/>
        </w:rPr>
        <w:t>“</w:t>
      </w:r>
      <w:r w:rsidR="00E37EAC" w:rsidRPr="00336E04">
        <w:rPr>
          <w:rFonts w:ascii="Arial" w:hAnsi="Arial" w:cs="Arial"/>
          <w:i/>
          <w:iCs/>
        </w:rPr>
        <w:t>without delay</w:t>
      </w:r>
      <w:r w:rsidR="00336E04">
        <w:rPr>
          <w:rFonts w:ascii="Arial" w:hAnsi="Arial" w:cs="Arial"/>
        </w:rPr>
        <w:t>”</w:t>
      </w:r>
      <w:r w:rsidR="00E37EAC">
        <w:rPr>
          <w:rFonts w:ascii="Arial" w:hAnsi="Arial" w:cs="Arial"/>
        </w:rPr>
        <w:t>.</w:t>
      </w:r>
      <w:r w:rsidR="00076EED" w:rsidRPr="000132F1">
        <w:rPr>
          <w:rFonts w:ascii="Arial" w:hAnsi="Arial" w:cs="Arial"/>
        </w:rPr>
        <w:t xml:space="preserve"> </w:t>
      </w:r>
    </w:p>
    <w:p w14:paraId="53098DEA" w14:textId="77777777" w:rsidR="00336E04" w:rsidRDefault="00336E04" w:rsidP="00076EED">
      <w:pPr>
        <w:pStyle w:val="ListParagraph"/>
        <w:spacing w:after="240" w:line="360" w:lineRule="auto"/>
        <w:jc w:val="both"/>
        <w:rPr>
          <w:rFonts w:ascii="Arial" w:hAnsi="Arial" w:cs="Arial"/>
          <w:b/>
          <w:bCs/>
        </w:rPr>
      </w:pPr>
    </w:p>
    <w:p w14:paraId="2695555C" w14:textId="664A7F7B" w:rsidR="00076EED" w:rsidRDefault="00076EED" w:rsidP="00076EED">
      <w:pPr>
        <w:pStyle w:val="ListParagraph"/>
        <w:spacing w:after="240" w:line="360" w:lineRule="auto"/>
        <w:jc w:val="both"/>
        <w:rPr>
          <w:rFonts w:ascii="Arial" w:hAnsi="Arial" w:cs="Arial"/>
          <w:b/>
          <w:bCs/>
        </w:rPr>
      </w:pPr>
      <w:r w:rsidRPr="00076EED">
        <w:rPr>
          <w:rFonts w:ascii="Arial" w:hAnsi="Arial" w:cs="Arial"/>
          <w:b/>
          <w:bCs/>
        </w:rPr>
        <w:t>Discussion</w:t>
      </w:r>
      <w:r w:rsidR="00AD0988">
        <w:rPr>
          <w:rFonts w:ascii="Arial" w:hAnsi="Arial" w:cs="Arial"/>
          <w:b/>
          <w:bCs/>
        </w:rPr>
        <w:t xml:space="preserve"> </w:t>
      </w:r>
      <w:r w:rsidR="001D5FB0">
        <w:rPr>
          <w:rFonts w:ascii="Arial" w:hAnsi="Arial" w:cs="Arial"/>
          <w:b/>
          <w:bCs/>
        </w:rPr>
        <w:t>–</w:t>
      </w:r>
      <w:r w:rsidR="00AD0988">
        <w:rPr>
          <w:rFonts w:ascii="Arial" w:hAnsi="Arial" w:cs="Arial"/>
          <w:b/>
          <w:bCs/>
        </w:rPr>
        <w:t xml:space="preserve"> Liability</w:t>
      </w:r>
    </w:p>
    <w:p w14:paraId="1D26C3F2" w14:textId="77777777" w:rsidR="0033367A" w:rsidRDefault="0033367A" w:rsidP="0033367A">
      <w:pPr>
        <w:pStyle w:val="ListParagraph"/>
        <w:spacing w:after="240" w:line="360" w:lineRule="auto"/>
        <w:jc w:val="both"/>
        <w:rPr>
          <w:rFonts w:ascii="Arial" w:hAnsi="Arial" w:cs="Arial"/>
        </w:rPr>
      </w:pPr>
    </w:p>
    <w:p w14:paraId="4A6D51E0" w14:textId="10E8D04E" w:rsidR="00336E04" w:rsidRDefault="00336E04" w:rsidP="00336E04">
      <w:pPr>
        <w:pStyle w:val="ListParagraph"/>
        <w:numPr>
          <w:ilvl w:val="0"/>
          <w:numId w:val="18"/>
        </w:numPr>
        <w:spacing w:after="240" w:line="360" w:lineRule="auto"/>
        <w:jc w:val="both"/>
        <w:rPr>
          <w:rFonts w:ascii="Arial" w:hAnsi="Arial" w:cs="Arial"/>
        </w:rPr>
      </w:pPr>
      <w:r>
        <w:rPr>
          <w:rFonts w:ascii="Arial" w:hAnsi="Arial" w:cs="Arial"/>
        </w:rPr>
        <w:t>The manner and timing of notification of the convictions to the Board underscores the respondent’s concerns that she has been prejudiced. Counsel for the PCC conducting the first investigation into the respondent notified the</w:t>
      </w:r>
      <w:r w:rsidR="00870622">
        <w:rPr>
          <w:rFonts w:ascii="Arial" w:hAnsi="Arial" w:cs="Arial"/>
        </w:rPr>
        <w:t xml:space="preserve"> </w:t>
      </w:r>
      <w:r>
        <w:rPr>
          <w:rFonts w:ascii="Arial" w:hAnsi="Arial" w:cs="Arial"/>
        </w:rPr>
        <w:t>Board on 7 April 2022, together with a copy of the Summary of Facts from the District Court. The Board then chose to refer the matter to a PCC, pursuant to s 65A</w:t>
      </w:r>
      <w:r w:rsidR="00870622">
        <w:rPr>
          <w:rFonts w:ascii="Arial" w:hAnsi="Arial" w:cs="Arial"/>
        </w:rPr>
        <w:t>(2)(a)</w:t>
      </w:r>
      <w:r>
        <w:rPr>
          <w:rFonts w:ascii="Arial" w:hAnsi="Arial" w:cs="Arial"/>
        </w:rPr>
        <w:t xml:space="preserve">. The PCC investigated </w:t>
      </w:r>
      <w:r w:rsidR="00870622">
        <w:rPr>
          <w:rFonts w:ascii="Arial" w:hAnsi="Arial" w:cs="Arial"/>
        </w:rPr>
        <w:t>and in the usual course, offered the respondent an opportunity to be heard</w:t>
      </w:r>
      <w:r>
        <w:rPr>
          <w:rFonts w:ascii="Arial" w:hAnsi="Arial" w:cs="Arial"/>
        </w:rPr>
        <w:t xml:space="preserve">. </w:t>
      </w:r>
      <w:r w:rsidR="00870622">
        <w:rPr>
          <w:rFonts w:ascii="Arial" w:hAnsi="Arial" w:cs="Arial"/>
        </w:rPr>
        <w:t>After completing its investigation t</w:t>
      </w:r>
      <w:r>
        <w:rPr>
          <w:rFonts w:ascii="Arial" w:hAnsi="Arial" w:cs="Arial"/>
        </w:rPr>
        <w:t>he PCC also had options available to it</w:t>
      </w:r>
      <w:r w:rsidR="00870622">
        <w:rPr>
          <w:rFonts w:ascii="Arial" w:hAnsi="Arial" w:cs="Arial"/>
        </w:rPr>
        <w:t xml:space="preserve"> pursuant to s 71</w:t>
      </w:r>
      <w:r>
        <w:rPr>
          <w:rFonts w:ascii="Arial" w:hAnsi="Arial" w:cs="Arial"/>
        </w:rPr>
        <w:t>, one of which was to lay a disciplinary charge</w:t>
      </w:r>
      <w:r w:rsidR="00870622">
        <w:rPr>
          <w:rFonts w:ascii="Arial" w:hAnsi="Arial" w:cs="Arial"/>
        </w:rPr>
        <w:t>: s 71(1)(c)</w:t>
      </w:r>
      <w:r>
        <w:rPr>
          <w:rFonts w:ascii="Arial" w:hAnsi="Arial" w:cs="Arial"/>
        </w:rPr>
        <w:t>.</w:t>
      </w:r>
    </w:p>
    <w:p w14:paraId="5C79DF03" w14:textId="77777777" w:rsidR="00336E04" w:rsidRDefault="00336E04" w:rsidP="00336E04">
      <w:pPr>
        <w:pStyle w:val="ListParagraph"/>
        <w:spacing w:after="240" w:line="360" w:lineRule="auto"/>
        <w:jc w:val="both"/>
        <w:rPr>
          <w:rFonts w:ascii="Arial" w:hAnsi="Arial" w:cs="Arial"/>
        </w:rPr>
      </w:pPr>
    </w:p>
    <w:p w14:paraId="3BD54C43" w14:textId="02CF4A86" w:rsidR="00B93266" w:rsidRDefault="00870622" w:rsidP="00076EED">
      <w:pPr>
        <w:pStyle w:val="ListParagraph"/>
        <w:numPr>
          <w:ilvl w:val="0"/>
          <w:numId w:val="18"/>
        </w:numPr>
        <w:spacing w:after="240" w:line="360" w:lineRule="auto"/>
        <w:jc w:val="both"/>
        <w:rPr>
          <w:rFonts w:ascii="Arial" w:hAnsi="Arial" w:cs="Arial"/>
        </w:rPr>
      </w:pPr>
      <w:r>
        <w:rPr>
          <w:rFonts w:ascii="Arial" w:hAnsi="Arial" w:cs="Arial"/>
        </w:rPr>
        <w:t xml:space="preserve">Both parties outlined a </w:t>
      </w:r>
      <w:r w:rsidR="00B93266">
        <w:rPr>
          <w:rFonts w:ascii="Arial" w:hAnsi="Arial" w:cs="Arial"/>
        </w:rPr>
        <w:t>chronology to</w:t>
      </w:r>
      <w:r>
        <w:rPr>
          <w:rFonts w:ascii="Arial" w:hAnsi="Arial" w:cs="Arial"/>
        </w:rPr>
        <w:t xml:space="preserve"> advance the competing contentions that the two matters could</w:t>
      </w:r>
      <w:r w:rsidR="002A5B32">
        <w:rPr>
          <w:rFonts w:ascii="Arial" w:hAnsi="Arial" w:cs="Arial"/>
        </w:rPr>
        <w:t>,</w:t>
      </w:r>
      <w:r>
        <w:rPr>
          <w:rFonts w:ascii="Arial" w:hAnsi="Arial" w:cs="Arial"/>
        </w:rPr>
        <w:t xml:space="preserve"> or could not</w:t>
      </w:r>
      <w:r w:rsidR="002A5B32">
        <w:rPr>
          <w:rFonts w:ascii="Arial" w:hAnsi="Arial" w:cs="Arial"/>
        </w:rPr>
        <w:t>,</w:t>
      </w:r>
      <w:r>
        <w:rPr>
          <w:rFonts w:ascii="Arial" w:hAnsi="Arial" w:cs="Arial"/>
        </w:rPr>
        <w:t xml:space="preserve"> reasonably have been addressed together once notice of the convictions was given. </w:t>
      </w:r>
      <w:r w:rsidR="00C17610">
        <w:rPr>
          <w:rFonts w:ascii="Arial" w:hAnsi="Arial" w:cs="Arial"/>
        </w:rPr>
        <w:t xml:space="preserve">We have </w:t>
      </w:r>
      <w:r>
        <w:rPr>
          <w:rFonts w:ascii="Arial" w:hAnsi="Arial" w:cs="Arial"/>
        </w:rPr>
        <w:t xml:space="preserve">set out the pertinent dates and </w:t>
      </w:r>
      <w:r w:rsidR="00C17610">
        <w:rPr>
          <w:rFonts w:ascii="Arial" w:hAnsi="Arial" w:cs="Arial"/>
        </w:rPr>
        <w:t>included further events in italics</w:t>
      </w:r>
      <w:r w:rsidR="00E4007B">
        <w:rPr>
          <w:rFonts w:ascii="Arial" w:hAnsi="Arial" w:cs="Arial"/>
        </w:rPr>
        <w:t>. There is no suggestion that the earlier Tribunal was aware of the convictions that form the basis of this charge when it dealt with the first charge against the respondent:</w:t>
      </w:r>
    </w:p>
    <w:p w14:paraId="3D9949E0" w14:textId="77777777" w:rsidR="00B93266" w:rsidRDefault="00B93266" w:rsidP="00B93266">
      <w:pPr>
        <w:pStyle w:val="ListParagraph"/>
        <w:spacing w:after="240" w:line="360" w:lineRule="auto"/>
        <w:jc w:val="both"/>
        <w:rPr>
          <w:rFonts w:ascii="Arial" w:hAnsi="Arial" w:cs="Arial"/>
        </w:rPr>
      </w:pPr>
    </w:p>
    <w:p w14:paraId="31422C8B" w14:textId="79B6FDDC" w:rsidR="00B43E1C" w:rsidRPr="00E4007B" w:rsidRDefault="00B43E1C" w:rsidP="00B93266">
      <w:pPr>
        <w:pStyle w:val="ListParagraph"/>
        <w:spacing w:after="240" w:line="360" w:lineRule="auto"/>
        <w:ind w:left="1440"/>
        <w:jc w:val="both"/>
        <w:rPr>
          <w:rFonts w:ascii="Arial" w:hAnsi="Arial" w:cs="Arial"/>
          <w:sz w:val="20"/>
          <w:szCs w:val="20"/>
        </w:rPr>
      </w:pPr>
      <w:r w:rsidRPr="00E4007B">
        <w:rPr>
          <w:rFonts w:ascii="Arial" w:hAnsi="Arial" w:cs="Arial"/>
          <w:i/>
          <w:iCs/>
          <w:sz w:val="20"/>
          <w:szCs w:val="20"/>
        </w:rPr>
        <w:t xml:space="preserve">September </w:t>
      </w:r>
      <w:r w:rsidR="00ED73C1">
        <w:rPr>
          <w:rFonts w:ascii="Arial" w:hAnsi="Arial" w:cs="Arial"/>
          <w:i/>
          <w:iCs/>
          <w:sz w:val="20"/>
          <w:szCs w:val="20"/>
        </w:rPr>
        <w:t>[dates]</w:t>
      </w:r>
      <w:r w:rsidRPr="00E4007B">
        <w:rPr>
          <w:rFonts w:ascii="Arial" w:hAnsi="Arial" w:cs="Arial"/>
          <w:sz w:val="20"/>
          <w:szCs w:val="20"/>
        </w:rPr>
        <w:t xml:space="preserve"> – </w:t>
      </w:r>
      <w:r w:rsidRPr="00E4007B">
        <w:rPr>
          <w:rFonts w:ascii="Arial" w:hAnsi="Arial" w:cs="Arial"/>
          <w:i/>
          <w:iCs/>
          <w:sz w:val="20"/>
          <w:szCs w:val="20"/>
        </w:rPr>
        <w:t xml:space="preserve">harassment of colleague/former colleague by the respondent, which was </w:t>
      </w:r>
      <w:r w:rsidR="00870622">
        <w:rPr>
          <w:rFonts w:ascii="Arial" w:hAnsi="Arial" w:cs="Arial"/>
          <w:i/>
          <w:iCs/>
          <w:sz w:val="20"/>
          <w:szCs w:val="20"/>
        </w:rPr>
        <w:t>particularised</w:t>
      </w:r>
      <w:r w:rsidRPr="00E4007B">
        <w:rPr>
          <w:rFonts w:ascii="Arial" w:hAnsi="Arial" w:cs="Arial"/>
          <w:i/>
          <w:iCs/>
          <w:sz w:val="20"/>
          <w:szCs w:val="20"/>
        </w:rPr>
        <w:t xml:space="preserve"> in the first charge</w:t>
      </w:r>
      <w:r w:rsidRPr="00E4007B">
        <w:rPr>
          <w:rFonts w:ascii="Arial" w:hAnsi="Arial" w:cs="Arial"/>
          <w:sz w:val="20"/>
          <w:szCs w:val="20"/>
        </w:rPr>
        <w:t>.</w:t>
      </w:r>
    </w:p>
    <w:p w14:paraId="766A4B12" w14:textId="77777777" w:rsidR="00B43E1C" w:rsidRPr="00E4007B" w:rsidRDefault="00B43E1C" w:rsidP="00B93266">
      <w:pPr>
        <w:pStyle w:val="ListParagraph"/>
        <w:spacing w:after="240" w:line="360" w:lineRule="auto"/>
        <w:ind w:left="1440"/>
        <w:jc w:val="both"/>
        <w:rPr>
          <w:rFonts w:ascii="Arial" w:hAnsi="Arial" w:cs="Arial"/>
          <w:sz w:val="20"/>
          <w:szCs w:val="20"/>
        </w:rPr>
      </w:pPr>
    </w:p>
    <w:p w14:paraId="5E697BC5" w14:textId="75B4BAB3" w:rsidR="00B93266" w:rsidRPr="00E4007B" w:rsidRDefault="00A60443" w:rsidP="00B93266">
      <w:pPr>
        <w:pStyle w:val="ListParagraph"/>
        <w:spacing w:after="240" w:line="360" w:lineRule="auto"/>
        <w:ind w:left="1440"/>
        <w:jc w:val="both"/>
        <w:rPr>
          <w:rFonts w:ascii="Arial" w:hAnsi="Arial" w:cs="Arial"/>
          <w:sz w:val="20"/>
          <w:szCs w:val="20"/>
        </w:rPr>
      </w:pPr>
      <w:r>
        <w:rPr>
          <w:rFonts w:ascii="Arial" w:hAnsi="Arial" w:cs="Arial"/>
          <w:sz w:val="20"/>
          <w:szCs w:val="20"/>
        </w:rPr>
        <w:t xml:space="preserve">[date] </w:t>
      </w:r>
      <w:r w:rsidR="009031CE" w:rsidRPr="00E4007B">
        <w:rPr>
          <w:rFonts w:ascii="Arial" w:hAnsi="Arial" w:cs="Arial"/>
          <w:sz w:val="20"/>
          <w:szCs w:val="20"/>
        </w:rPr>
        <w:t>the respondent’s registration and practising certificate are suspended</w:t>
      </w:r>
      <w:r w:rsidR="00C17610" w:rsidRPr="00E4007B">
        <w:rPr>
          <w:rFonts w:ascii="Arial" w:hAnsi="Arial" w:cs="Arial"/>
          <w:sz w:val="20"/>
          <w:szCs w:val="20"/>
        </w:rPr>
        <w:t xml:space="preserve"> </w:t>
      </w:r>
      <w:r w:rsidR="00C17610" w:rsidRPr="00E4007B">
        <w:rPr>
          <w:rFonts w:ascii="Arial" w:hAnsi="Arial" w:cs="Arial"/>
          <w:i/>
          <w:iCs/>
          <w:sz w:val="20"/>
          <w:szCs w:val="20"/>
        </w:rPr>
        <w:t xml:space="preserve">by the </w:t>
      </w:r>
      <w:r w:rsidR="00B43E1C" w:rsidRPr="00E4007B">
        <w:rPr>
          <w:rFonts w:ascii="Arial" w:hAnsi="Arial" w:cs="Arial"/>
          <w:i/>
          <w:iCs/>
          <w:sz w:val="20"/>
          <w:szCs w:val="20"/>
        </w:rPr>
        <w:t>Board following a notification of concerns from the respondent’s employer.</w:t>
      </w:r>
      <w:r w:rsidR="00CB4776" w:rsidRPr="00E4007B">
        <w:rPr>
          <w:rFonts w:ascii="Arial" w:hAnsi="Arial" w:cs="Arial"/>
          <w:i/>
          <w:iCs/>
          <w:sz w:val="20"/>
          <w:szCs w:val="20"/>
        </w:rPr>
        <w:t xml:space="preserve"> The suspension is not reinstated at any time.</w:t>
      </w:r>
    </w:p>
    <w:p w14:paraId="6CE9E61D" w14:textId="77777777" w:rsidR="009031CE" w:rsidRPr="00E4007B" w:rsidRDefault="009031CE" w:rsidP="00B93266">
      <w:pPr>
        <w:pStyle w:val="ListParagraph"/>
        <w:spacing w:after="240" w:line="360" w:lineRule="auto"/>
        <w:ind w:left="1440"/>
        <w:jc w:val="both"/>
        <w:rPr>
          <w:rFonts w:ascii="Arial" w:hAnsi="Arial" w:cs="Arial"/>
          <w:sz w:val="20"/>
          <w:szCs w:val="20"/>
        </w:rPr>
      </w:pPr>
    </w:p>
    <w:p w14:paraId="4F6FB89D" w14:textId="707F7B23" w:rsidR="009031CE" w:rsidRPr="00E4007B" w:rsidRDefault="00FD4B91" w:rsidP="00B93266">
      <w:pPr>
        <w:pStyle w:val="ListParagraph"/>
        <w:spacing w:after="240" w:line="360" w:lineRule="auto"/>
        <w:ind w:left="1440"/>
        <w:jc w:val="both"/>
        <w:rPr>
          <w:rFonts w:ascii="Arial" w:hAnsi="Arial" w:cs="Arial"/>
          <w:i/>
          <w:iCs/>
          <w:sz w:val="20"/>
          <w:szCs w:val="20"/>
        </w:rPr>
      </w:pPr>
      <w:r>
        <w:rPr>
          <w:rFonts w:ascii="Arial" w:hAnsi="Arial" w:cs="Arial"/>
          <w:sz w:val="20"/>
          <w:szCs w:val="20"/>
        </w:rPr>
        <w:t>[date]</w:t>
      </w:r>
      <w:r w:rsidR="009031CE" w:rsidRPr="00E4007B">
        <w:rPr>
          <w:rFonts w:ascii="Arial" w:hAnsi="Arial" w:cs="Arial"/>
          <w:sz w:val="20"/>
          <w:szCs w:val="20"/>
        </w:rPr>
        <w:t xml:space="preserve"> – the respondent commences the communications against </w:t>
      </w:r>
      <w:r w:rsidR="00870622">
        <w:rPr>
          <w:rFonts w:ascii="Arial" w:hAnsi="Arial" w:cs="Arial"/>
          <w:sz w:val="20"/>
          <w:szCs w:val="20"/>
        </w:rPr>
        <w:t>Ms F</w:t>
      </w:r>
      <w:r w:rsidR="009031CE" w:rsidRPr="00E4007B">
        <w:rPr>
          <w:rFonts w:ascii="Arial" w:hAnsi="Arial" w:cs="Arial"/>
          <w:sz w:val="20"/>
          <w:szCs w:val="20"/>
        </w:rPr>
        <w:t>.</w:t>
      </w:r>
      <w:r w:rsidR="00C17610" w:rsidRPr="00E4007B">
        <w:rPr>
          <w:rFonts w:ascii="Arial" w:hAnsi="Arial" w:cs="Arial"/>
          <w:sz w:val="20"/>
          <w:szCs w:val="20"/>
        </w:rPr>
        <w:t xml:space="preserve"> </w:t>
      </w:r>
      <w:r w:rsidR="00C17610" w:rsidRPr="00E4007B">
        <w:rPr>
          <w:rFonts w:ascii="Arial" w:hAnsi="Arial" w:cs="Arial"/>
          <w:i/>
          <w:iCs/>
          <w:sz w:val="20"/>
          <w:szCs w:val="20"/>
        </w:rPr>
        <w:t>The PCC investigation into the first allegation</w:t>
      </w:r>
      <w:r w:rsidR="00B43E1C" w:rsidRPr="00E4007B">
        <w:rPr>
          <w:rFonts w:ascii="Arial" w:hAnsi="Arial" w:cs="Arial"/>
          <w:i/>
          <w:iCs/>
          <w:sz w:val="20"/>
          <w:szCs w:val="20"/>
        </w:rPr>
        <w:t>s is ongoing</w:t>
      </w:r>
      <w:r w:rsidR="00C17610" w:rsidRPr="00E4007B">
        <w:rPr>
          <w:rFonts w:ascii="Arial" w:hAnsi="Arial" w:cs="Arial"/>
          <w:i/>
          <w:iCs/>
          <w:sz w:val="20"/>
          <w:szCs w:val="20"/>
        </w:rPr>
        <w:t>.</w:t>
      </w:r>
    </w:p>
    <w:p w14:paraId="6B389149" w14:textId="77777777" w:rsidR="009031CE" w:rsidRPr="00E4007B" w:rsidRDefault="009031CE" w:rsidP="00B93266">
      <w:pPr>
        <w:pStyle w:val="ListParagraph"/>
        <w:spacing w:after="240" w:line="360" w:lineRule="auto"/>
        <w:ind w:left="1440"/>
        <w:jc w:val="both"/>
        <w:rPr>
          <w:rFonts w:ascii="Arial" w:hAnsi="Arial" w:cs="Arial"/>
          <w:sz w:val="20"/>
          <w:szCs w:val="20"/>
        </w:rPr>
      </w:pPr>
    </w:p>
    <w:p w14:paraId="20FA5F14" w14:textId="71A17719" w:rsidR="009031CE" w:rsidRPr="00E4007B" w:rsidRDefault="00FD4B91"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w:t>
      </w:r>
      <w:r w:rsidR="00C17610" w:rsidRPr="00E4007B">
        <w:rPr>
          <w:rFonts w:ascii="Arial" w:hAnsi="Arial" w:cs="Arial"/>
          <w:sz w:val="20"/>
          <w:szCs w:val="20"/>
        </w:rPr>
        <w:t xml:space="preserve"> </w:t>
      </w:r>
      <w:r w:rsidR="009031CE" w:rsidRPr="00E4007B">
        <w:rPr>
          <w:rFonts w:ascii="Arial" w:hAnsi="Arial" w:cs="Arial"/>
          <w:sz w:val="20"/>
          <w:szCs w:val="20"/>
        </w:rPr>
        <w:t>the respondent commences the communications against</w:t>
      </w:r>
      <w:r w:rsidR="00870622">
        <w:rPr>
          <w:rFonts w:ascii="Arial" w:hAnsi="Arial" w:cs="Arial"/>
          <w:sz w:val="20"/>
          <w:szCs w:val="20"/>
        </w:rPr>
        <w:t xml:space="preserve"> Ms R</w:t>
      </w:r>
      <w:r w:rsidR="009031CE" w:rsidRPr="00E4007B">
        <w:rPr>
          <w:rFonts w:ascii="Arial" w:hAnsi="Arial" w:cs="Arial"/>
          <w:sz w:val="20"/>
          <w:szCs w:val="20"/>
        </w:rPr>
        <w:t>.</w:t>
      </w:r>
    </w:p>
    <w:p w14:paraId="2040E62D" w14:textId="77777777" w:rsidR="009031CE" w:rsidRPr="00E4007B" w:rsidRDefault="009031CE" w:rsidP="00B93266">
      <w:pPr>
        <w:pStyle w:val="ListParagraph"/>
        <w:spacing w:after="240" w:line="360" w:lineRule="auto"/>
        <w:ind w:left="1440"/>
        <w:jc w:val="both"/>
        <w:rPr>
          <w:rFonts w:ascii="Arial" w:hAnsi="Arial" w:cs="Arial"/>
          <w:sz w:val="20"/>
          <w:szCs w:val="20"/>
        </w:rPr>
      </w:pPr>
    </w:p>
    <w:p w14:paraId="2CADBD57" w14:textId="28086417" w:rsidR="009031CE" w:rsidRPr="00E4007B" w:rsidRDefault="00352C4D"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 the respondent’s conduct is reported to the Police.</w:t>
      </w:r>
    </w:p>
    <w:p w14:paraId="30C90C13" w14:textId="77777777" w:rsidR="009031CE" w:rsidRPr="00E4007B" w:rsidRDefault="009031CE" w:rsidP="00B93266">
      <w:pPr>
        <w:pStyle w:val="ListParagraph"/>
        <w:spacing w:after="240" w:line="360" w:lineRule="auto"/>
        <w:ind w:left="1440"/>
        <w:jc w:val="both"/>
        <w:rPr>
          <w:rFonts w:ascii="Arial" w:hAnsi="Arial" w:cs="Arial"/>
          <w:sz w:val="20"/>
          <w:szCs w:val="20"/>
        </w:rPr>
      </w:pPr>
    </w:p>
    <w:p w14:paraId="729810DC" w14:textId="49C2C0C5" w:rsidR="009031CE" w:rsidRPr="00E4007B" w:rsidRDefault="00352C4D"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 the respondent pleads guilty to charges under the HDC Act 2015.</w:t>
      </w:r>
    </w:p>
    <w:p w14:paraId="18DC8450" w14:textId="77777777" w:rsidR="00BE5578" w:rsidRPr="00E4007B" w:rsidRDefault="00BE5578" w:rsidP="00B93266">
      <w:pPr>
        <w:pStyle w:val="ListParagraph"/>
        <w:spacing w:after="240" w:line="360" w:lineRule="auto"/>
        <w:ind w:left="1440"/>
        <w:jc w:val="both"/>
        <w:rPr>
          <w:rFonts w:ascii="Arial" w:hAnsi="Arial" w:cs="Arial"/>
          <w:sz w:val="20"/>
          <w:szCs w:val="20"/>
        </w:rPr>
      </w:pPr>
    </w:p>
    <w:p w14:paraId="580B0B16" w14:textId="377D3DAD" w:rsidR="009031CE" w:rsidRPr="00E4007B" w:rsidRDefault="00352C4D"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 the respondent is convicted and discharged</w:t>
      </w:r>
      <w:r w:rsidR="00CB4776" w:rsidRPr="00E4007B">
        <w:rPr>
          <w:rFonts w:ascii="Arial" w:hAnsi="Arial" w:cs="Arial"/>
          <w:sz w:val="20"/>
          <w:szCs w:val="20"/>
        </w:rPr>
        <w:t xml:space="preserve"> of the offences.</w:t>
      </w:r>
    </w:p>
    <w:p w14:paraId="39A0391B" w14:textId="77777777" w:rsidR="009031CE" w:rsidRPr="00E4007B" w:rsidRDefault="009031CE" w:rsidP="00B93266">
      <w:pPr>
        <w:pStyle w:val="ListParagraph"/>
        <w:spacing w:after="240" w:line="360" w:lineRule="auto"/>
        <w:ind w:left="1440"/>
        <w:jc w:val="both"/>
        <w:rPr>
          <w:rFonts w:ascii="Arial" w:hAnsi="Arial" w:cs="Arial"/>
          <w:sz w:val="20"/>
          <w:szCs w:val="20"/>
        </w:rPr>
      </w:pPr>
    </w:p>
    <w:p w14:paraId="7EEBDF7D" w14:textId="12575C96" w:rsidR="009031CE" w:rsidRPr="00E4007B" w:rsidRDefault="009031CE" w:rsidP="00B93266">
      <w:pPr>
        <w:pStyle w:val="ListParagraph"/>
        <w:spacing w:after="240" w:line="360" w:lineRule="auto"/>
        <w:ind w:left="1440"/>
        <w:jc w:val="both"/>
        <w:rPr>
          <w:rFonts w:ascii="Arial" w:hAnsi="Arial" w:cs="Arial"/>
          <w:sz w:val="20"/>
          <w:szCs w:val="20"/>
        </w:rPr>
      </w:pPr>
      <w:r w:rsidRPr="00E4007B">
        <w:rPr>
          <w:rFonts w:ascii="Arial" w:hAnsi="Arial" w:cs="Arial"/>
          <w:sz w:val="20"/>
          <w:szCs w:val="20"/>
        </w:rPr>
        <w:t>7 April 2022 – counsel for the PCC notifies the Board of the conviction and provides the sentencing notes.</w:t>
      </w:r>
    </w:p>
    <w:p w14:paraId="65DFBA68" w14:textId="77777777" w:rsidR="00C17610" w:rsidRPr="00E4007B" w:rsidRDefault="00C17610" w:rsidP="00B93266">
      <w:pPr>
        <w:pStyle w:val="ListParagraph"/>
        <w:spacing w:after="240" w:line="360" w:lineRule="auto"/>
        <w:ind w:left="1440"/>
        <w:jc w:val="both"/>
        <w:rPr>
          <w:rFonts w:ascii="Arial" w:hAnsi="Arial" w:cs="Arial"/>
          <w:sz w:val="20"/>
          <w:szCs w:val="20"/>
        </w:rPr>
      </w:pPr>
    </w:p>
    <w:p w14:paraId="7EE149BC" w14:textId="34F7A6F4" w:rsidR="009031CE" w:rsidRPr="00E4007B" w:rsidRDefault="00BE5578" w:rsidP="00B93266">
      <w:pPr>
        <w:pStyle w:val="ListParagraph"/>
        <w:spacing w:after="240" w:line="360" w:lineRule="auto"/>
        <w:ind w:left="1440"/>
        <w:jc w:val="both"/>
        <w:rPr>
          <w:rFonts w:ascii="Arial" w:hAnsi="Arial" w:cs="Arial"/>
          <w:sz w:val="20"/>
          <w:szCs w:val="20"/>
        </w:rPr>
      </w:pPr>
      <w:r w:rsidRPr="00E4007B">
        <w:rPr>
          <w:rFonts w:ascii="Arial" w:hAnsi="Arial" w:cs="Arial"/>
          <w:i/>
          <w:iCs/>
          <w:sz w:val="20"/>
          <w:szCs w:val="20"/>
        </w:rPr>
        <w:t>8-10</w:t>
      </w:r>
      <w:r w:rsidR="009031CE" w:rsidRPr="00E4007B">
        <w:rPr>
          <w:rFonts w:ascii="Arial" w:hAnsi="Arial" w:cs="Arial"/>
          <w:sz w:val="20"/>
          <w:szCs w:val="20"/>
        </w:rPr>
        <w:t xml:space="preserve"> May 2022 – </w:t>
      </w:r>
      <w:r w:rsidRPr="00E4007B">
        <w:rPr>
          <w:rFonts w:ascii="Arial" w:hAnsi="Arial" w:cs="Arial"/>
          <w:sz w:val="20"/>
          <w:szCs w:val="20"/>
        </w:rPr>
        <w:t xml:space="preserve">via subcommittee, </w:t>
      </w:r>
      <w:r w:rsidR="00C17610" w:rsidRPr="00E4007B">
        <w:rPr>
          <w:rFonts w:ascii="Arial" w:hAnsi="Arial" w:cs="Arial"/>
          <w:sz w:val="20"/>
          <w:szCs w:val="20"/>
        </w:rPr>
        <w:t xml:space="preserve">the </w:t>
      </w:r>
      <w:r w:rsidR="009031CE" w:rsidRPr="00E4007B">
        <w:rPr>
          <w:rFonts w:ascii="Arial" w:hAnsi="Arial" w:cs="Arial"/>
          <w:sz w:val="20"/>
          <w:szCs w:val="20"/>
        </w:rPr>
        <w:t xml:space="preserve">Board resolves to refer the convictions to </w:t>
      </w:r>
      <w:r w:rsidRPr="00E4007B">
        <w:rPr>
          <w:rFonts w:ascii="Arial" w:hAnsi="Arial" w:cs="Arial"/>
          <w:sz w:val="20"/>
          <w:szCs w:val="20"/>
        </w:rPr>
        <w:t>a</w:t>
      </w:r>
      <w:r w:rsidR="009031CE" w:rsidRPr="00E4007B">
        <w:rPr>
          <w:rFonts w:ascii="Arial" w:hAnsi="Arial" w:cs="Arial"/>
          <w:sz w:val="20"/>
          <w:szCs w:val="20"/>
        </w:rPr>
        <w:t xml:space="preserve"> PCC.</w:t>
      </w:r>
    </w:p>
    <w:p w14:paraId="71A76F1D" w14:textId="77777777" w:rsidR="00E0487B" w:rsidRPr="00E4007B" w:rsidRDefault="00E0487B" w:rsidP="00B93266">
      <w:pPr>
        <w:pStyle w:val="ListParagraph"/>
        <w:spacing w:after="240" w:line="360" w:lineRule="auto"/>
        <w:ind w:left="1440"/>
        <w:jc w:val="both"/>
        <w:rPr>
          <w:rFonts w:ascii="Arial" w:hAnsi="Arial" w:cs="Arial"/>
          <w:sz w:val="20"/>
          <w:szCs w:val="20"/>
        </w:rPr>
      </w:pPr>
    </w:p>
    <w:p w14:paraId="0300C488" w14:textId="61C7C6E3" w:rsidR="009031CE" w:rsidRPr="00E4007B" w:rsidRDefault="00CF698D"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 liability hearing on the first charge.</w:t>
      </w:r>
      <w:r w:rsidR="00CB4776" w:rsidRPr="00E4007B">
        <w:rPr>
          <w:rFonts w:ascii="Arial" w:hAnsi="Arial" w:cs="Arial"/>
          <w:sz w:val="20"/>
          <w:szCs w:val="20"/>
        </w:rPr>
        <w:t xml:space="preserve"> The respondent does not participate.</w:t>
      </w:r>
    </w:p>
    <w:p w14:paraId="2D42CB2B" w14:textId="77777777" w:rsidR="00E0487B" w:rsidRPr="00E4007B" w:rsidRDefault="00E0487B" w:rsidP="00B93266">
      <w:pPr>
        <w:pStyle w:val="ListParagraph"/>
        <w:spacing w:after="240" w:line="360" w:lineRule="auto"/>
        <w:ind w:left="1440"/>
        <w:jc w:val="both"/>
        <w:rPr>
          <w:rFonts w:ascii="Arial" w:hAnsi="Arial" w:cs="Arial"/>
          <w:sz w:val="20"/>
          <w:szCs w:val="20"/>
        </w:rPr>
      </w:pPr>
    </w:p>
    <w:p w14:paraId="1D70408C" w14:textId="612A996E" w:rsidR="009031CE" w:rsidRPr="00E4007B" w:rsidRDefault="009031CE" w:rsidP="00B93266">
      <w:pPr>
        <w:pStyle w:val="ListParagraph"/>
        <w:spacing w:after="240" w:line="360" w:lineRule="auto"/>
        <w:ind w:left="1440"/>
        <w:jc w:val="both"/>
        <w:rPr>
          <w:rFonts w:ascii="Arial" w:hAnsi="Arial" w:cs="Arial"/>
          <w:sz w:val="20"/>
          <w:szCs w:val="20"/>
        </w:rPr>
      </w:pPr>
      <w:r w:rsidRPr="00E4007B">
        <w:rPr>
          <w:rFonts w:ascii="Arial" w:hAnsi="Arial" w:cs="Arial"/>
          <w:sz w:val="20"/>
          <w:szCs w:val="20"/>
        </w:rPr>
        <w:t>29 June 2022 – Board notifies the respondent that the second convictions will be referred to a PCC.</w:t>
      </w:r>
    </w:p>
    <w:p w14:paraId="1A5CDC05" w14:textId="77777777" w:rsidR="00E0487B" w:rsidRPr="00E4007B" w:rsidRDefault="00E0487B" w:rsidP="00B93266">
      <w:pPr>
        <w:pStyle w:val="ListParagraph"/>
        <w:spacing w:after="240" w:line="360" w:lineRule="auto"/>
        <w:ind w:left="1440"/>
        <w:jc w:val="both"/>
        <w:rPr>
          <w:rFonts w:ascii="Arial" w:hAnsi="Arial" w:cs="Arial"/>
          <w:sz w:val="20"/>
          <w:szCs w:val="20"/>
        </w:rPr>
      </w:pPr>
    </w:p>
    <w:p w14:paraId="5D93F129" w14:textId="5A9759EB" w:rsidR="009031CE" w:rsidRPr="00E4007B" w:rsidRDefault="003E7656"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 penalty hearing in relation to the first charge.</w:t>
      </w:r>
    </w:p>
    <w:p w14:paraId="5BA87295" w14:textId="77777777" w:rsidR="000B5B1F" w:rsidRPr="00E4007B" w:rsidRDefault="000B5B1F" w:rsidP="00B93266">
      <w:pPr>
        <w:pStyle w:val="ListParagraph"/>
        <w:spacing w:after="240" w:line="360" w:lineRule="auto"/>
        <w:ind w:left="1440"/>
        <w:jc w:val="both"/>
        <w:rPr>
          <w:rFonts w:ascii="Arial" w:hAnsi="Arial" w:cs="Arial"/>
          <w:sz w:val="20"/>
          <w:szCs w:val="20"/>
        </w:rPr>
      </w:pPr>
    </w:p>
    <w:p w14:paraId="14A93C92" w14:textId="28F19743" w:rsidR="00BE5578" w:rsidRPr="00E4007B" w:rsidRDefault="00BE5578" w:rsidP="00B93266">
      <w:pPr>
        <w:pStyle w:val="ListParagraph"/>
        <w:spacing w:after="240" w:line="360" w:lineRule="auto"/>
        <w:ind w:left="1440"/>
        <w:jc w:val="both"/>
        <w:rPr>
          <w:rFonts w:ascii="Arial" w:hAnsi="Arial" w:cs="Arial"/>
          <w:sz w:val="20"/>
          <w:szCs w:val="20"/>
        </w:rPr>
      </w:pPr>
      <w:r w:rsidRPr="00E4007B">
        <w:rPr>
          <w:rFonts w:ascii="Arial" w:hAnsi="Arial" w:cs="Arial"/>
          <w:i/>
          <w:iCs/>
          <w:sz w:val="20"/>
          <w:szCs w:val="20"/>
        </w:rPr>
        <w:t>18 August 2022 – Board appoints a PCC pursuant to s 66 to consider the convictions the subject of this charge.</w:t>
      </w:r>
      <w:r w:rsidRPr="00E4007B">
        <w:rPr>
          <w:rStyle w:val="FootnoteReference"/>
          <w:rFonts w:ascii="Arial" w:hAnsi="Arial" w:cs="Arial"/>
          <w:i/>
          <w:iCs/>
          <w:sz w:val="20"/>
          <w:szCs w:val="20"/>
        </w:rPr>
        <w:footnoteReference w:id="8"/>
      </w:r>
    </w:p>
    <w:p w14:paraId="03E75C2D" w14:textId="77777777" w:rsidR="00E0487B" w:rsidRPr="00E4007B" w:rsidRDefault="00E0487B" w:rsidP="00B93266">
      <w:pPr>
        <w:pStyle w:val="ListParagraph"/>
        <w:spacing w:after="240" w:line="360" w:lineRule="auto"/>
        <w:ind w:left="1440"/>
        <w:jc w:val="both"/>
        <w:rPr>
          <w:rFonts w:ascii="Arial" w:hAnsi="Arial" w:cs="Arial"/>
          <w:sz w:val="20"/>
          <w:szCs w:val="20"/>
        </w:rPr>
      </w:pPr>
    </w:p>
    <w:p w14:paraId="657364C2" w14:textId="654F8635" w:rsidR="009031CE" w:rsidRPr="00E4007B" w:rsidRDefault="002A0967" w:rsidP="00B93266">
      <w:pPr>
        <w:pStyle w:val="ListParagraph"/>
        <w:spacing w:after="240" w:line="360" w:lineRule="auto"/>
        <w:ind w:left="1440"/>
        <w:jc w:val="both"/>
        <w:rPr>
          <w:rFonts w:ascii="Arial" w:hAnsi="Arial" w:cs="Arial"/>
          <w:sz w:val="20"/>
          <w:szCs w:val="20"/>
        </w:rPr>
      </w:pPr>
      <w:r>
        <w:rPr>
          <w:rFonts w:ascii="Arial" w:hAnsi="Arial" w:cs="Arial"/>
          <w:sz w:val="20"/>
          <w:szCs w:val="20"/>
        </w:rPr>
        <w:t>[date]</w:t>
      </w:r>
      <w:r w:rsidR="009031CE" w:rsidRPr="00E4007B">
        <w:rPr>
          <w:rFonts w:ascii="Arial" w:hAnsi="Arial" w:cs="Arial"/>
          <w:sz w:val="20"/>
          <w:szCs w:val="20"/>
        </w:rPr>
        <w:t xml:space="preserve"> – Tribunal issues decision cancelling the respondent’s registration.</w:t>
      </w:r>
    </w:p>
    <w:p w14:paraId="78FED9AE" w14:textId="77777777" w:rsidR="000B5B1F" w:rsidRPr="00E4007B" w:rsidRDefault="000B5B1F" w:rsidP="00B93266">
      <w:pPr>
        <w:pStyle w:val="ListParagraph"/>
        <w:spacing w:after="240" w:line="360" w:lineRule="auto"/>
        <w:ind w:left="1440"/>
        <w:jc w:val="both"/>
        <w:rPr>
          <w:rFonts w:ascii="Arial" w:hAnsi="Arial" w:cs="Arial"/>
          <w:sz w:val="20"/>
          <w:szCs w:val="20"/>
        </w:rPr>
      </w:pPr>
    </w:p>
    <w:p w14:paraId="51AA850C" w14:textId="6993B25F" w:rsidR="000B5B1F" w:rsidRPr="00E4007B" w:rsidRDefault="000B5B1F" w:rsidP="00B93266">
      <w:pPr>
        <w:pStyle w:val="ListParagraph"/>
        <w:spacing w:after="240" w:line="360" w:lineRule="auto"/>
        <w:ind w:left="1440"/>
        <w:jc w:val="both"/>
        <w:rPr>
          <w:rFonts w:ascii="Arial" w:hAnsi="Arial" w:cs="Arial"/>
          <w:sz w:val="20"/>
          <w:szCs w:val="20"/>
        </w:rPr>
      </w:pPr>
      <w:r w:rsidRPr="00E4007B">
        <w:rPr>
          <w:rFonts w:ascii="Arial" w:hAnsi="Arial" w:cs="Arial"/>
          <w:i/>
          <w:iCs/>
          <w:sz w:val="20"/>
          <w:szCs w:val="20"/>
        </w:rPr>
        <w:t xml:space="preserve">17 January 2023 – Respondent replies to PCC regarding information gathered. No dispute </w:t>
      </w:r>
      <w:r w:rsidR="00870622">
        <w:rPr>
          <w:rFonts w:ascii="Arial" w:hAnsi="Arial" w:cs="Arial"/>
          <w:i/>
          <w:iCs/>
          <w:sz w:val="20"/>
          <w:szCs w:val="20"/>
        </w:rPr>
        <w:t xml:space="preserve">of facts </w:t>
      </w:r>
      <w:r w:rsidRPr="00E4007B">
        <w:rPr>
          <w:rFonts w:ascii="Arial" w:hAnsi="Arial" w:cs="Arial"/>
          <w:i/>
          <w:iCs/>
          <w:sz w:val="20"/>
          <w:szCs w:val="20"/>
        </w:rPr>
        <w:t>but counsel urges PCC to take no further action.</w:t>
      </w:r>
      <w:r w:rsidRPr="00E4007B">
        <w:rPr>
          <w:rStyle w:val="FootnoteReference"/>
          <w:rFonts w:ascii="Arial" w:hAnsi="Arial" w:cs="Arial"/>
          <w:i/>
          <w:iCs/>
          <w:sz w:val="20"/>
          <w:szCs w:val="20"/>
        </w:rPr>
        <w:footnoteReference w:id="9"/>
      </w:r>
    </w:p>
    <w:p w14:paraId="1DA83506" w14:textId="77777777" w:rsidR="000B5B1F" w:rsidRPr="00E4007B" w:rsidRDefault="000B5B1F" w:rsidP="00B93266">
      <w:pPr>
        <w:pStyle w:val="ListParagraph"/>
        <w:spacing w:after="240" w:line="360" w:lineRule="auto"/>
        <w:ind w:left="1440"/>
        <w:jc w:val="both"/>
        <w:rPr>
          <w:rFonts w:ascii="Arial" w:hAnsi="Arial" w:cs="Arial"/>
          <w:sz w:val="20"/>
          <w:szCs w:val="20"/>
        </w:rPr>
      </w:pPr>
    </w:p>
    <w:p w14:paraId="14F57868" w14:textId="1880D3A6" w:rsidR="000B5B1F" w:rsidRPr="00E4007B" w:rsidRDefault="000B5B1F" w:rsidP="00B93266">
      <w:pPr>
        <w:pStyle w:val="ListParagraph"/>
        <w:spacing w:after="240" w:line="360" w:lineRule="auto"/>
        <w:ind w:left="1440"/>
        <w:jc w:val="both"/>
        <w:rPr>
          <w:rFonts w:ascii="Arial" w:hAnsi="Arial" w:cs="Arial"/>
          <w:sz w:val="20"/>
          <w:szCs w:val="20"/>
        </w:rPr>
      </w:pPr>
      <w:r w:rsidRPr="00E4007B">
        <w:rPr>
          <w:rFonts w:ascii="Arial" w:hAnsi="Arial" w:cs="Arial"/>
          <w:i/>
          <w:iCs/>
          <w:sz w:val="20"/>
          <w:szCs w:val="20"/>
        </w:rPr>
        <w:t>6 April 2023 – draft PCC determination sent to the respondent, no response</w:t>
      </w:r>
      <w:r w:rsidRPr="00E4007B">
        <w:rPr>
          <w:rFonts w:ascii="Arial" w:hAnsi="Arial" w:cs="Arial"/>
          <w:sz w:val="20"/>
          <w:szCs w:val="20"/>
        </w:rPr>
        <w:t>.</w:t>
      </w:r>
      <w:r w:rsidRPr="00E4007B">
        <w:rPr>
          <w:rStyle w:val="FootnoteReference"/>
          <w:rFonts w:ascii="Arial" w:hAnsi="Arial" w:cs="Arial"/>
          <w:sz w:val="20"/>
          <w:szCs w:val="20"/>
        </w:rPr>
        <w:footnoteReference w:id="10"/>
      </w:r>
    </w:p>
    <w:p w14:paraId="58A6CD09" w14:textId="77777777" w:rsidR="00E0487B" w:rsidRPr="00E4007B" w:rsidRDefault="00E0487B" w:rsidP="00B93266">
      <w:pPr>
        <w:pStyle w:val="ListParagraph"/>
        <w:spacing w:after="240" w:line="360" w:lineRule="auto"/>
        <w:ind w:left="1440"/>
        <w:jc w:val="both"/>
        <w:rPr>
          <w:rFonts w:ascii="Arial" w:hAnsi="Arial" w:cs="Arial"/>
          <w:sz w:val="20"/>
          <w:szCs w:val="20"/>
        </w:rPr>
      </w:pPr>
    </w:p>
    <w:p w14:paraId="6FE3F28E" w14:textId="4E54D47E" w:rsidR="009031CE" w:rsidRPr="00E4007B" w:rsidRDefault="009031CE" w:rsidP="00B93266">
      <w:pPr>
        <w:pStyle w:val="ListParagraph"/>
        <w:spacing w:after="240" w:line="360" w:lineRule="auto"/>
        <w:ind w:left="1440"/>
        <w:jc w:val="both"/>
        <w:rPr>
          <w:rFonts w:ascii="Arial" w:hAnsi="Arial" w:cs="Arial"/>
          <w:sz w:val="20"/>
          <w:szCs w:val="20"/>
        </w:rPr>
      </w:pPr>
      <w:r w:rsidRPr="00E4007B">
        <w:rPr>
          <w:rFonts w:ascii="Arial" w:hAnsi="Arial" w:cs="Arial"/>
          <w:sz w:val="20"/>
          <w:szCs w:val="20"/>
        </w:rPr>
        <w:t>28 April 2023 –</w:t>
      </w:r>
      <w:r w:rsidR="00CB4776" w:rsidRPr="00E4007B">
        <w:rPr>
          <w:rFonts w:ascii="Arial" w:hAnsi="Arial" w:cs="Arial"/>
          <w:sz w:val="20"/>
          <w:szCs w:val="20"/>
        </w:rPr>
        <w:t xml:space="preserve"> </w:t>
      </w:r>
      <w:r w:rsidRPr="00E4007B">
        <w:rPr>
          <w:rFonts w:ascii="Arial" w:hAnsi="Arial" w:cs="Arial"/>
          <w:sz w:val="20"/>
          <w:szCs w:val="20"/>
        </w:rPr>
        <w:t xml:space="preserve">PCC determines to lay </w:t>
      </w:r>
      <w:r w:rsidR="00CB4776" w:rsidRPr="00E4007B">
        <w:rPr>
          <w:rFonts w:ascii="Arial" w:hAnsi="Arial" w:cs="Arial"/>
          <w:sz w:val="20"/>
          <w:szCs w:val="20"/>
        </w:rPr>
        <w:t>this</w:t>
      </w:r>
      <w:r w:rsidRPr="00E4007B">
        <w:rPr>
          <w:rFonts w:ascii="Arial" w:hAnsi="Arial" w:cs="Arial"/>
          <w:sz w:val="20"/>
          <w:szCs w:val="20"/>
        </w:rPr>
        <w:t xml:space="preserve"> disciplinary charge.</w:t>
      </w:r>
    </w:p>
    <w:p w14:paraId="429C2BFC" w14:textId="77777777" w:rsidR="00E0487B" w:rsidRPr="00E4007B" w:rsidRDefault="00E0487B" w:rsidP="00B93266">
      <w:pPr>
        <w:pStyle w:val="ListParagraph"/>
        <w:spacing w:after="240" w:line="360" w:lineRule="auto"/>
        <w:ind w:left="1440"/>
        <w:jc w:val="both"/>
        <w:rPr>
          <w:rFonts w:ascii="Arial" w:hAnsi="Arial" w:cs="Arial"/>
          <w:sz w:val="20"/>
          <w:szCs w:val="20"/>
        </w:rPr>
      </w:pPr>
    </w:p>
    <w:p w14:paraId="1C17C6F3" w14:textId="2B09EBC4" w:rsidR="009031CE" w:rsidRPr="00E4007B" w:rsidRDefault="009031CE" w:rsidP="00B93266">
      <w:pPr>
        <w:pStyle w:val="ListParagraph"/>
        <w:spacing w:after="240" w:line="360" w:lineRule="auto"/>
        <w:ind w:left="1440"/>
        <w:jc w:val="both"/>
        <w:rPr>
          <w:rFonts w:ascii="Arial" w:hAnsi="Arial" w:cs="Arial"/>
          <w:sz w:val="20"/>
          <w:szCs w:val="20"/>
        </w:rPr>
      </w:pPr>
      <w:r w:rsidRPr="00E4007B">
        <w:rPr>
          <w:rFonts w:ascii="Arial" w:hAnsi="Arial" w:cs="Arial"/>
          <w:sz w:val="20"/>
          <w:szCs w:val="20"/>
        </w:rPr>
        <w:t>14 September 2023 – the charge is filed in the Tribunal.</w:t>
      </w:r>
    </w:p>
    <w:p w14:paraId="7E32B028" w14:textId="77777777" w:rsidR="009031CE" w:rsidRDefault="009031CE" w:rsidP="00B93266">
      <w:pPr>
        <w:pStyle w:val="ListParagraph"/>
        <w:spacing w:after="240" w:line="360" w:lineRule="auto"/>
        <w:ind w:left="1440"/>
        <w:jc w:val="both"/>
        <w:rPr>
          <w:rFonts w:ascii="Arial" w:hAnsi="Arial" w:cs="Arial"/>
        </w:rPr>
      </w:pPr>
    </w:p>
    <w:p w14:paraId="3C2A8F72" w14:textId="2F24B17B" w:rsidR="00B93266" w:rsidRDefault="00870622" w:rsidP="00076EED">
      <w:pPr>
        <w:pStyle w:val="ListParagraph"/>
        <w:numPr>
          <w:ilvl w:val="0"/>
          <w:numId w:val="18"/>
        </w:numPr>
        <w:spacing w:after="240" w:line="360" w:lineRule="auto"/>
        <w:jc w:val="both"/>
        <w:rPr>
          <w:rFonts w:ascii="Arial" w:hAnsi="Arial" w:cs="Arial"/>
        </w:rPr>
      </w:pPr>
      <w:r>
        <w:rPr>
          <w:rFonts w:ascii="Arial" w:hAnsi="Arial" w:cs="Arial"/>
        </w:rPr>
        <w:t>T</w:t>
      </w:r>
      <w:r w:rsidR="0033367A">
        <w:rPr>
          <w:rFonts w:ascii="Arial" w:hAnsi="Arial" w:cs="Arial"/>
        </w:rPr>
        <w:t xml:space="preserve">he respondent </w:t>
      </w:r>
      <w:r>
        <w:rPr>
          <w:rFonts w:ascii="Arial" w:hAnsi="Arial" w:cs="Arial"/>
        </w:rPr>
        <w:t>is the author of her own misfortune due to her conduct and must</w:t>
      </w:r>
      <w:r w:rsidR="0033367A">
        <w:rPr>
          <w:rFonts w:ascii="Arial" w:hAnsi="Arial" w:cs="Arial"/>
        </w:rPr>
        <w:t xml:space="preserve"> take some responsibility</w:t>
      </w:r>
      <w:r w:rsidR="00834790">
        <w:rPr>
          <w:rFonts w:ascii="Arial" w:hAnsi="Arial" w:cs="Arial"/>
        </w:rPr>
        <w:t xml:space="preserve"> for any lost opportunity to deal with the charges together</w:t>
      </w:r>
      <w:r w:rsidR="002A5B32">
        <w:rPr>
          <w:rFonts w:ascii="Arial" w:hAnsi="Arial" w:cs="Arial"/>
        </w:rPr>
        <w:t xml:space="preserve">, </w:t>
      </w:r>
      <w:r w:rsidR="00834790">
        <w:rPr>
          <w:rFonts w:ascii="Arial" w:hAnsi="Arial" w:cs="Arial"/>
        </w:rPr>
        <w:t xml:space="preserve">given </w:t>
      </w:r>
      <w:r w:rsidR="0033367A">
        <w:rPr>
          <w:rFonts w:ascii="Arial" w:hAnsi="Arial" w:cs="Arial"/>
        </w:rPr>
        <w:t xml:space="preserve">she did not </w:t>
      </w:r>
      <w:r w:rsidR="002A5B32">
        <w:rPr>
          <w:rFonts w:ascii="Arial" w:hAnsi="Arial" w:cs="Arial"/>
        </w:rPr>
        <w:t xml:space="preserve">meet her ethical obligation to </w:t>
      </w:r>
      <w:r w:rsidR="0033367A">
        <w:rPr>
          <w:rFonts w:ascii="Arial" w:hAnsi="Arial" w:cs="Arial"/>
        </w:rPr>
        <w:t>self-report the criminal convictions</w:t>
      </w:r>
      <w:r w:rsidR="002A5B32">
        <w:rPr>
          <w:rFonts w:ascii="Arial" w:hAnsi="Arial" w:cs="Arial"/>
        </w:rPr>
        <w:t>.</w:t>
      </w:r>
      <w:r w:rsidR="00834790">
        <w:rPr>
          <w:rFonts w:ascii="Arial" w:hAnsi="Arial" w:cs="Arial"/>
        </w:rPr>
        <w:t xml:space="preserve"> However, we can sympathise that the matter has taken some time to resolve and that there may have been the possibility of a single hearing, reducing costs and the spectre of a second round of publicity.</w:t>
      </w:r>
    </w:p>
    <w:p w14:paraId="4D38046F" w14:textId="77777777" w:rsidR="0033367A" w:rsidRDefault="0033367A" w:rsidP="0033367A">
      <w:pPr>
        <w:pStyle w:val="ListParagraph"/>
        <w:spacing w:after="240" w:line="360" w:lineRule="auto"/>
        <w:jc w:val="both"/>
        <w:rPr>
          <w:rFonts w:ascii="Arial" w:hAnsi="Arial" w:cs="Arial"/>
        </w:rPr>
      </w:pPr>
    </w:p>
    <w:p w14:paraId="111B4E48" w14:textId="053E0009" w:rsidR="00FC6360" w:rsidRDefault="0033367A" w:rsidP="00836E3C">
      <w:pPr>
        <w:pStyle w:val="ListParagraph"/>
        <w:numPr>
          <w:ilvl w:val="0"/>
          <w:numId w:val="18"/>
        </w:numPr>
        <w:spacing w:after="240" w:line="360" w:lineRule="auto"/>
        <w:jc w:val="both"/>
        <w:rPr>
          <w:rFonts w:ascii="Arial" w:hAnsi="Arial" w:cs="Arial"/>
        </w:rPr>
      </w:pPr>
      <w:r w:rsidRPr="00FC6360">
        <w:rPr>
          <w:rFonts w:ascii="Arial" w:hAnsi="Arial" w:cs="Arial"/>
        </w:rPr>
        <w:t xml:space="preserve">We accept the </w:t>
      </w:r>
      <w:r w:rsidR="007E6474">
        <w:rPr>
          <w:rFonts w:ascii="Arial" w:hAnsi="Arial" w:cs="Arial"/>
        </w:rPr>
        <w:t>PC</w:t>
      </w:r>
      <w:r w:rsidRPr="00FC6360">
        <w:rPr>
          <w:rFonts w:ascii="Arial" w:hAnsi="Arial" w:cs="Arial"/>
        </w:rPr>
        <w:t xml:space="preserve">C’s submissions as to the process that is required to be followed by the Board, on receipt of notice of a conviction, and then by a PCC once that notice has been referred. </w:t>
      </w:r>
      <w:r w:rsidR="000B5B1F" w:rsidRPr="00FC6360">
        <w:rPr>
          <w:rFonts w:ascii="Arial" w:hAnsi="Arial" w:cs="Arial"/>
        </w:rPr>
        <w:t xml:space="preserve">The PCC were clearly aware of the earlier proceedings and cancellation of the respondent’s registration but determined that it was appropriate to pursue a disciplinary charge because of the seriousness with which </w:t>
      </w:r>
      <w:r w:rsidR="00834790">
        <w:rPr>
          <w:rFonts w:ascii="Arial" w:hAnsi="Arial" w:cs="Arial"/>
        </w:rPr>
        <w:t>it</w:t>
      </w:r>
      <w:r w:rsidR="000B5B1F" w:rsidRPr="00FC6360">
        <w:rPr>
          <w:rFonts w:ascii="Arial" w:hAnsi="Arial" w:cs="Arial"/>
        </w:rPr>
        <w:t xml:space="preserve"> viewed the respondent’s conduct.</w:t>
      </w:r>
      <w:r w:rsidR="00FC6360" w:rsidRPr="00FC6360">
        <w:rPr>
          <w:rFonts w:ascii="Arial" w:hAnsi="Arial" w:cs="Arial"/>
        </w:rPr>
        <w:t xml:space="preserve"> </w:t>
      </w:r>
      <w:r w:rsidRPr="00FC6360">
        <w:rPr>
          <w:rFonts w:ascii="Arial" w:hAnsi="Arial" w:cs="Arial"/>
        </w:rPr>
        <w:t xml:space="preserve">We have insufficient evidence to make any assessment of whether there </w:t>
      </w:r>
      <w:r w:rsidR="00834790">
        <w:rPr>
          <w:rFonts w:ascii="Arial" w:hAnsi="Arial" w:cs="Arial"/>
        </w:rPr>
        <w:t xml:space="preserve">ought to have been consideration of </w:t>
      </w:r>
      <w:r w:rsidRPr="00FC6360">
        <w:rPr>
          <w:rFonts w:ascii="Arial" w:hAnsi="Arial" w:cs="Arial"/>
        </w:rPr>
        <w:t xml:space="preserve">the matters </w:t>
      </w:r>
      <w:r w:rsidR="00834790">
        <w:rPr>
          <w:rFonts w:ascii="Arial" w:hAnsi="Arial" w:cs="Arial"/>
        </w:rPr>
        <w:t>being dealt</w:t>
      </w:r>
      <w:r w:rsidRPr="00FC6360">
        <w:rPr>
          <w:rFonts w:ascii="Arial" w:hAnsi="Arial" w:cs="Arial"/>
        </w:rPr>
        <w:t xml:space="preserve"> with together</w:t>
      </w:r>
      <w:r w:rsidR="00E0487B" w:rsidRPr="00FC6360">
        <w:rPr>
          <w:rFonts w:ascii="Arial" w:hAnsi="Arial" w:cs="Arial"/>
        </w:rPr>
        <w:t xml:space="preserve">, </w:t>
      </w:r>
      <w:r w:rsidR="00FC6360" w:rsidRPr="00FC6360">
        <w:rPr>
          <w:rFonts w:ascii="Arial" w:hAnsi="Arial" w:cs="Arial"/>
        </w:rPr>
        <w:t xml:space="preserve">albeit that would have caused delay while the PCC </w:t>
      </w:r>
      <w:r w:rsidR="00834790">
        <w:rPr>
          <w:rFonts w:ascii="Arial" w:hAnsi="Arial" w:cs="Arial"/>
        </w:rPr>
        <w:t>decided whether to pursue the convictions. N</w:t>
      </w:r>
      <w:r w:rsidR="00E0487B" w:rsidRPr="00FC6360">
        <w:rPr>
          <w:rFonts w:ascii="Arial" w:hAnsi="Arial" w:cs="Arial"/>
        </w:rPr>
        <w:t xml:space="preserve">or is </w:t>
      </w:r>
      <w:r w:rsidR="00FC6360" w:rsidRPr="00FC6360">
        <w:rPr>
          <w:rFonts w:ascii="Arial" w:hAnsi="Arial" w:cs="Arial"/>
        </w:rPr>
        <w:t>it our role to</w:t>
      </w:r>
      <w:r w:rsidR="00E0487B" w:rsidRPr="00FC6360">
        <w:rPr>
          <w:rFonts w:ascii="Arial" w:hAnsi="Arial" w:cs="Arial"/>
        </w:rPr>
        <w:t xml:space="preserve"> review </w:t>
      </w:r>
      <w:r w:rsidR="00FC6360" w:rsidRPr="00FC6360">
        <w:rPr>
          <w:rFonts w:ascii="Arial" w:hAnsi="Arial" w:cs="Arial"/>
        </w:rPr>
        <w:t>the PC</w:t>
      </w:r>
      <w:r w:rsidR="00E0487B" w:rsidRPr="00FC6360">
        <w:rPr>
          <w:rFonts w:ascii="Arial" w:hAnsi="Arial" w:cs="Arial"/>
        </w:rPr>
        <w:t>C</w:t>
      </w:r>
      <w:r w:rsidR="007E6474">
        <w:rPr>
          <w:rFonts w:ascii="Arial" w:hAnsi="Arial" w:cs="Arial"/>
        </w:rPr>
        <w:t>’s</w:t>
      </w:r>
      <w:r w:rsidR="00E0487B" w:rsidRPr="00FC6360">
        <w:rPr>
          <w:rFonts w:ascii="Arial" w:hAnsi="Arial" w:cs="Arial"/>
        </w:rPr>
        <w:t xml:space="preserve"> procedures</w:t>
      </w:r>
      <w:r w:rsidRPr="00FC6360">
        <w:rPr>
          <w:rFonts w:ascii="Arial" w:hAnsi="Arial" w:cs="Arial"/>
        </w:rPr>
        <w:t xml:space="preserve">. </w:t>
      </w:r>
      <w:r w:rsidR="00E0487B" w:rsidRPr="00FC6360">
        <w:rPr>
          <w:rFonts w:ascii="Arial" w:hAnsi="Arial" w:cs="Arial"/>
        </w:rPr>
        <w:t xml:space="preserve">We do consider </w:t>
      </w:r>
      <w:r w:rsidR="007E6474">
        <w:rPr>
          <w:rFonts w:ascii="Arial" w:hAnsi="Arial" w:cs="Arial"/>
        </w:rPr>
        <w:t>this</w:t>
      </w:r>
      <w:r w:rsidR="00E0487B" w:rsidRPr="00FC6360">
        <w:rPr>
          <w:rFonts w:ascii="Arial" w:hAnsi="Arial" w:cs="Arial"/>
        </w:rPr>
        <w:t xml:space="preserve"> is pertinent to costs, </w:t>
      </w:r>
      <w:r w:rsidR="00FC6360">
        <w:rPr>
          <w:rFonts w:ascii="Arial" w:hAnsi="Arial" w:cs="Arial"/>
        </w:rPr>
        <w:t xml:space="preserve">however, which </w:t>
      </w:r>
      <w:r w:rsidR="007E6474">
        <w:rPr>
          <w:rFonts w:ascii="Arial" w:hAnsi="Arial" w:cs="Arial"/>
        </w:rPr>
        <w:t>we discuss</w:t>
      </w:r>
      <w:r w:rsidR="00FC6360">
        <w:rPr>
          <w:rFonts w:ascii="Arial" w:hAnsi="Arial" w:cs="Arial"/>
        </w:rPr>
        <w:t xml:space="preserve"> below</w:t>
      </w:r>
      <w:r w:rsidR="00E0487B" w:rsidRPr="00FC6360">
        <w:rPr>
          <w:rFonts w:ascii="Arial" w:hAnsi="Arial" w:cs="Arial"/>
        </w:rPr>
        <w:t>.</w:t>
      </w:r>
    </w:p>
    <w:p w14:paraId="5F96DA86" w14:textId="77777777" w:rsidR="00FC6360" w:rsidRPr="00FC6360" w:rsidRDefault="00FC6360" w:rsidP="00FC6360">
      <w:pPr>
        <w:pStyle w:val="ListParagraph"/>
        <w:rPr>
          <w:rFonts w:ascii="Arial" w:hAnsi="Arial" w:cs="Arial"/>
        </w:rPr>
      </w:pPr>
    </w:p>
    <w:p w14:paraId="445C8770" w14:textId="794305B5" w:rsidR="0033367A" w:rsidRDefault="00E0487B" w:rsidP="00076EED">
      <w:pPr>
        <w:pStyle w:val="ListParagraph"/>
        <w:numPr>
          <w:ilvl w:val="0"/>
          <w:numId w:val="18"/>
        </w:numPr>
        <w:spacing w:after="240" w:line="360" w:lineRule="auto"/>
        <w:jc w:val="both"/>
        <w:rPr>
          <w:rFonts w:ascii="Arial" w:hAnsi="Arial" w:cs="Arial"/>
        </w:rPr>
      </w:pPr>
      <w:r>
        <w:rPr>
          <w:rFonts w:ascii="Arial" w:hAnsi="Arial" w:cs="Arial"/>
        </w:rPr>
        <w:t xml:space="preserve">We deal with the actual facts </w:t>
      </w:r>
      <w:r w:rsidR="007E6474">
        <w:rPr>
          <w:rFonts w:ascii="Arial" w:hAnsi="Arial" w:cs="Arial"/>
        </w:rPr>
        <w:t xml:space="preserve">leading to </w:t>
      </w:r>
      <w:r>
        <w:rPr>
          <w:rFonts w:ascii="Arial" w:hAnsi="Arial" w:cs="Arial"/>
        </w:rPr>
        <w:t xml:space="preserve">the convictions </w:t>
      </w:r>
      <w:r w:rsidR="007E6474">
        <w:rPr>
          <w:rFonts w:ascii="Arial" w:hAnsi="Arial" w:cs="Arial"/>
        </w:rPr>
        <w:t xml:space="preserve">very </w:t>
      </w:r>
      <w:r>
        <w:rPr>
          <w:rFonts w:ascii="Arial" w:hAnsi="Arial" w:cs="Arial"/>
        </w:rPr>
        <w:t>briefly. T</w:t>
      </w:r>
      <w:r w:rsidR="0033367A">
        <w:rPr>
          <w:rFonts w:ascii="Arial" w:hAnsi="Arial" w:cs="Arial"/>
        </w:rPr>
        <w:t xml:space="preserve">he </w:t>
      </w:r>
      <w:r>
        <w:rPr>
          <w:rFonts w:ascii="Arial" w:hAnsi="Arial" w:cs="Arial"/>
        </w:rPr>
        <w:t>S</w:t>
      </w:r>
      <w:r w:rsidR="0033367A">
        <w:rPr>
          <w:rFonts w:ascii="Arial" w:hAnsi="Arial" w:cs="Arial"/>
        </w:rPr>
        <w:t>ummary of Facts sets out deliberate and harmful behaviour by the respondent towa</w:t>
      </w:r>
      <w:r w:rsidR="00AD0988">
        <w:rPr>
          <w:rFonts w:ascii="Arial" w:hAnsi="Arial" w:cs="Arial"/>
        </w:rPr>
        <w:t>r</w:t>
      </w:r>
      <w:r w:rsidR="0033367A">
        <w:rPr>
          <w:rFonts w:ascii="Arial" w:hAnsi="Arial" w:cs="Arial"/>
        </w:rPr>
        <w:t>ds two former colleagues. A conviction under s 22 requires the court to be sa</w:t>
      </w:r>
      <w:r w:rsidR="00AD0988">
        <w:rPr>
          <w:rFonts w:ascii="Arial" w:hAnsi="Arial" w:cs="Arial"/>
        </w:rPr>
        <w:t>t</w:t>
      </w:r>
      <w:r w:rsidR="0033367A">
        <w:rPr>
          <w:rFonts w:ascii="Arial" w:hAnsi="Arial" w:cs="Arial"/>
        </w:rPr>
        <w:t>isfied that</w:t>
      </w:r>
      <w:r w:rsidR="00FC6360">
        <w:rPr>
          <w:rFonts w:ascii="Arial" w:hAnsi="Arial" w:cs="Arial"/>
        </w:rPr>
        <w:t xml:space="preserve"> </w:t>
      </w:r>
      <w:r w:rsidR="007E6474">
        <w:rPr>
          <w:rFonts w:ascii="Arial" w:hAnsi="Arial" w:cs="Arial"/>
        </w:rPr>
        <w:t>there was intention to cause harm, that an ordinary reasonable person would be harmed, and the victim was harmed.</w:t>
      </w:r>
      <w:r w:rsidR="00FC6360">
        <w:rPr>
          <w:rFonts w:ascii="Arial" w:hAnsi="Arial" w:cs="Arial"/>
        </w:rPr>
        <w:t xml:space="preserve"> </w:t>
      </w:r>
      <w:r w:rsidR="0033367A">
        <w:rPr>
          <w:rFonts w:ascii="Arial" w:hAnsi="Arial" w:cs="Arial"/>
        </w:rPr>
        <w:t xml:space="preserve">This highlights </w:t>
      </w:r>
      <w:r w:rsidR="00BE44E3">
        <w:rPr>
          <w:rFonts w:ascii="Arial" w:hAnsi="Arial" w:cs="Arial"/>
        </w:rPr>
        <w:t xml:space="preserve">the </w:t>
      </w:r>
      <w:r w:rsidR="0033367A">
        <w:rPr>
          <w:rFonts w:ascii="Arial" w:hAnsi="Arial" w:cs="Arial"/>
        </w:rPr>
        <w:t xml:space="preserve">serious nature of </w:t>
      </w:r>
      <w:r w:rsidR="00BE44E3">
        <w:rPr>
          <w:rFonts w:ascii="Arial" w:hAnsi="Arial" w:cs="Arial"/>
        </w:rPr>
        <w:t xml:space="preserve">the </w:t>
      </w:r>
      <w:r w:rsidR="0033367A">
        <w:rPr>
          <w:rFonts w:ascii="Arial" w:hAnsi="Arial" w:cs="Arial"/>
        </w:rPr>
        <w:t>conduct</w:t>
      </w:r>
      <w:r>
        <w:rPr>
          <w:rFonts w:ascii="Arial" w:hAnsi="Arial" w:cs="Arial"/>
        </w:rPr>
        <w:t>.</w:t>
      </w:r>
      <w:r w:rsidR="00BE44E3">
        <w:rPr>
          <w:rFonts w:ascii="Arial" w:hAnsi="Arial" w:cs="Arial"/>
        </w:rPr>
        <w:t xml:space="preserve"> </w:t>
      </w:r>
      <w:r>
        <w:rPr>
          <w:rFonts w:ascii="Arial" w:hAnsi="Arial" w:cs="Arial"/>
        </w:rPr>
        <w:t xml:space="preserve"> </w:t>
      </w:r>
    </w:p>
    <w:p w14:paraId="26E855AA" w14:textId="77777777" w:rsidR="0033367A" w:rsidRPr="0033367A" w:rsidRDefault="0033367A" w:rsidP="0033367A">
      <w:pPr>
        <w:pStyle w:val="ListParagraph"/>
        <w:rPr>
          <w:rFonts w:ascii="Arial" w:hAnsi="Arial" w:cs="Arial"/>
        </w:rPr>
      </w:pPr>
    </w:p>
    <w:p w14:paraId="5A99E6A0" w14:textId="04130880" w:rsidR="0000055F" w:rsidRPr="00E0487B" w:rsidRDefault="00BE44E3" w:rsidP="00A546AE">
      <w:pPr>
        <w:pStyle w:val="ListParagraph"/>
        <w:numPr>
          <w:ilvl w:val="0"/>
          <w:numId w:val="18"/>
        </w:numPr>
        <w:spacing w:after="240" w:line="360" w:lineRule="auto"/>
        <w:jc w:val="both"/>
        <w:rPr>
          <w:rFonts w:ascii="Arial" w:hAnsi="Arial" w:cs="Arial"/>
        </w:rPr>
      </w:pPr>
      <w:r>
        <w:rPr>
          <w:rFonts w:ascii="Arial" w:hAnsi="Arial" w:cs="Arial"/>
        </w:rPr>
        <w:t>Clearly the respondent had a lo</w:t>
      </w:r>
      <w:r w:rsidR="00AD0988" w:rsidRPr="00E0487B">
        <w:rPr>
          <w:rFonts w:ascii="Arial" w:hAnsi="Arial" w:cs="Arial"/>
        </w:rPr>
        <w:t>ng-harboured</w:t>
      </w:r>
      <w:r w:rsidR="0033367A" w:rsidRPr="00E0487B">
        <w:rPr>
          <w:rFonts w:ascii="Arial" w:hAnsi="Arial" w:cs="Arial"/>
        </w:rPr>
        <w:t xml:space="preserve"> </w:t>
      </w:r>
      <w:r w:rsidR="00E0487B" w:rsidRPr="00E0487B">
        <w:rPr>
          <w:rFonts w:ascii="Arial" w:hAnsi="Arial" w:cs="Arial"/>
        </w:rPr>
        <w:t xml:space="preserve">and deep </w:t>
      </w:r>
      <w:r w:rsidR="0033367A" w:rsidRPr="00E0487B">
        <w:rPr>
          <w:rFonts w:ascii="Arial" w:hAnsi="Arial" w:cs="Arial"/>
        </w:rPr>
        <w:t>discontent with her former colleagues. Regardless</w:t>
      </w:r>
      <w:r w:rsidR="00E0487B" w:rsidRPr="00E0487B">
        <w:rPr>
          <w:rFonts w:ascii="Arial" w:hAnsi="Arial" w:cs="Arial"/>
        </w:rPr>
        <w:t>,</w:t>
      </w:r>
      <w:r w:rsidR="0000055F" w:rsidRPr="00E0487B">
        <w:rPr>
          <w:rFonts w:ascii="Arial" w:hAnsi="Arial" w:cs="Arial"/>
        </w:rPr>
        <w:t xml:space="preserve"> the manner in which </w:t>
      </w:r>
      <w:r w:rsidR="009737AC">
        <w:rPr>
          <w:rFonts w:ascii="Arial" w:hAnsi="Arial" w:cs="Arial"/>
        </w:rPr>
        <w:t>she</w:t>
      </w:r>
      <w:r w:rsidR="0000055F" w:rsidRPr="00E0487B">
        <w:rPr>
          <w:rFonts w:ascii="Arial" w:hAnsi="Arial" w:cs="Arial"/>
        </w:rPr>
        <w:t xml:space="preserve"> communicated was highly offensive and inappropriate</w:t>
      </w:r>
      <w:r w:rsidR="009737AC">
        <w:rPr>
          <w:rFonts w:ascii="Arial" w:hAnsi="Arial" w:cs="Arial"/>
        </w:rPr>
        <w:t xml:space="preserve"> and clearly</w:t>
      </w:r>
      <w:r w:rsidR="0000055F" w:rsidRPr="00E0487B">
        <w:rPr>
          <w:rFonts w:ascii="Arial" w:hAnsi="Arial" w:cs="Arial"/>
        </w:rPr>
        <w:t xml:space="preserve"> in breach of the expectations set out in the Code</w:t>
      </w:r>
      <w:r w:rsidR="00EC3835">
        <w:rPr>
          <w:rFonts w:ascii="Arial" w:hAnsi="Arial" w:cs="Arial"/>
        </w:rPr>
        <w:t xml:space="preserve"> and reflects adversely on the respondent’s fitness to practise as a social worker. The fact that the conduct occurred after she came under investigation for similar conduct is aggravating, as is the failure to notify the Board of the criminal charges, or the convictions. </w:t>
      </w:r>
      <w:r w:rsidR="002A5B32">
        <w:rPr>
          <w:rFonts w:ascii="Arial" w:hAnsi="Arial" w:cs="Arial"/>
        </w:rPr>
        <w:t xml:space="preserve"> Accordingly we find the charge proved.</w:t>
      </w:r>
    </w:p>
    <w:p w14:paraId="428B6EE3" w14:textId="77777777" w:rsidR="00847F5B" w:rsidRPr="00325559" w:rsidRDefault="00847F5B" w:rsidP="00847F5B">
      <w:pPr>
        <w:pStyle w:val="ListParagraph"/>
        <w:rPr>
          <w:rFonts w:ascii="Arial" w:hAnsi="Arial" w:cs="Arial"/>
        </w:rPr>
      </w:pPr>
    </w:p>
    <w:p w14:paraId="38BF2C41" w14:textId="74B04DC3" w:rsidR="00A3515F" w:rsidRPr="00325559" w:rsidRDefault="00AD0988" w:rsidP="00A3515F">
      <w:pPr>
        <w:spacing w:after="240" w:line="360" w:lineRule="auto"/>
        <w:ind w:left="360"/>
        <w:jc w:val="both"/>
        <w:rPr>
          <w:rFonts w:ascii="Arial" w:hAnsi="Arial" w:cs="Arial"/>
          <w:b/>
          <w:bCs/>
        </w:rPr>
      </w:pPr>
      <w:r>
        <w:rPr>
          <w:rFonts w:ascii="Arial" w:hAnsi="Arial" w:cs="Arial"/>
          <w:b/>
          <w:bCs/>
        </w:rPr>
        <w:t>Discussion-Penalty</w:t>
      </w:r>
    </w:p>
    <w:p w14:paraId="0E0D76EB" w14:textId="50855FF2" w:rsidR="00AD0988" w:rsidRDefault="00AD0988" w:rsidP="009417F6">
      <w:pPr>
        <w:pStyle w:val="ListParagraph"/>
        <w:numPr>
          <w:ilvl w:val="0"/>
          <w:numId w:val="18"/>
        </w:numPr>
        <w:spacing w:after="240" w:line="360" w:lineRule="auto"/>
        <w:jc w:val="both"/>
        <w:rPr>
          <w:rFonts w:ascii="Arial" w:hAnsi="Arial" w:cs="Arial"/>
        </w:rPr>
      </w:pPr>
      <w:r>
        <w:rPr>
          <w:rFonts w:ascii="Arial" w:hAnsi="Arial" w:cs="Arial"/>
        </w:rPr>
        <w:t>Having found the charge proved we must then consider whether it is appropriate to order any of the penalties set out in s 83 of the Act. Both parties acknowledge that any penalty will be indicative, given the respondent is not registered</w:t>
      </w:r>
      <w:r w:rsidR="00753EDF">
        <w:rPr>
          <w:rFonts w:ascii="Arial" w:hAnsi="Arial" w:cs="Arial"/>
        </w:rPr>
        <w:t xml:space="preserve">, has pursued new qualifications </w:t>
      </w:r>
      <w:r>
        <w:rPr>
          <w:rFonts w:ascii="Arial" w:hAnsi="Arial" w:cs="Arial"/>
        </w:rPr>
        <w:t xml:space="preserve">and has </w:t>
      </w:r>
      <w:r w:rsidR="00753EDF">
        <w:rPr>
          <w:rFonts w:ascii="Arial" w:hAnsi="Arial" w:cs="Arial"/>
        </w:rPr>
        <w:t>not</w:t>
      </w:r>
      <w:r>
        <w:rPr>
          <w:rFonts w:ascii="Arial" w:hAnsi="Arial" w:cs="Arial"/>
        </w:rPr>
        <w:t xml:space="preserve"> indicated any intention to re-register and practise as a social worker in the future. Evidence was given by the respondent regarding study towards qualifications in a wholly different profession</w:t>
      </w:r>
      <w:r w:rsidR="00753EDF">
        <w:rPr>
          <w:rFonts w:ascii="Arial" w:hAnsi="Arial" w:cs="Arial"/>
        </w:rPr>
        <w:t>, and her affidavit refers to coming to terms with not again practising as a social worker, after the cancel</w:t>
      </w:r>
      <w:r w:rsidR="002A5B32">
        <w:rPr>
          <w:rFonts w:ascii="Arial" w:hAnsi="Arial" w:cs="Arial"/>
        </w:rPr>
        <w:t>lation of</w:t>
      </w:r>
      <w:r w:rsidR="00753EDF">
        <w:rPr>
          <w:rFonts w:ascii="Arial" w:hAnsi="Arial" w:cs="Arial"/>
        </w:rPr>
        <w:t xml:space="preserve"> her registration</w:t>
      </w:r>
      <w:r>
        <w:rPr>
          <w:rFonts w:ascii="Arial" w:hAnsi="Arial" w:cs="Arial"/>
        </w:rPr>
        <w:t>.</w:t>
      </w:r>
    </w:p>
    <w:p w14:paraId="5F4CE2F7" w14:textId="77777777" w:rsidR="0051653A" w:rsidRDefault="0051653A" w:rsidP="0051653A">
      <w:pPr>
        <w:pStyle w:val="ListParagraph"/>
        <w:spacing w:after="240" w:line="360" w:lineRule="auto"/>
        <w:jc w:val="both"/>
        <w:rPr>
          <w:rFonts w:ascii="Arial" w:hAnsi="Arial" w:cs="Arial"/>
        </w:rPr>
      </w:pPr>
    </w:p>
    <w:p w14:paraId="665D90F6" w14:textId="55FCD9BA" w:rsidR="00AD0988" w:rsidRDefault="00EC3835" w:rsidP="009417F6">
      <w:pPr>
        <w:pStyle w:val="ListParagraph"/>
        <w:numPr>
          <w:ilvl w:val="0"/>
          <w:numId w:val="18"/>
        </w:numPr>
        <w:spacing w:after="240" w:line="360" w:lineRule="auto"/>
        <w:jc w:val="both"/>
        <w:rPr>
          <w:rFonts w:ascii="Arial" w:hAnsi="Arial" w:cs="Arial"/>
        </w:rPr>
      </w:pPr>
      <w:r>
        <w:rPr>
          <w:rFonts w:ascii="Arial" w:hAnsi="Arial" w:cs="Arial"/>
        </w:rPr>
        <w:t>W</w:t>
      </w:r>
      <w:r w:rsidR="00AD0988">
        <w:rPr>
          <w:rFonts w:ascii="Arial" w:hAnsi="Arial" w:cs="Arial"/>
        </w:rPr>
        <w:t xml:space="preserve">e consider it is useful to set out our findings. </w:t>
      </w:r>
      <w:r w:rsidR="00753EDF">
        <w:rPr>
          <w:rFonts w:ascii="Arial" w:hAnsi="Arial" w:cs="Arial"/>
        </w:rPr>
        <w:t>In this way we can fulfil the s</w:t>
      </w:r>
      <w:r w:rsidR="00EB0D82">
        <w:rPr>
          <w:rFonts w:ascii="Arial" w:hAnsi="Arial" w:cs="Arial"/>
        </w:rPr>
        <w:t>tandard setting function of the Tribunal</w:t>
      </w:r>
      <w:r w:rsidR="00753EDF">
        <w:rPr>
          <w:rFonts w:ascii="Arial" w:hAnsi="Arial" w:cs="Arial"/>
        </w:rPr>
        <w:t xml:space="preserve">, </w:t>
      </w:r>
      <w:r w:rsidR="00EB0D82">
        <w:rPr>
          <w:rFonts w:ascii="Arial" w:hAnsi="Arial" w:cs="Arial"/>
        </w:rPr>
        <w:t xml:space="preserve">and to enhance professionalism by sending a clear message as to the types of conduct that cannot be tolerated. Counsel </w:t>
      </w:r>
      <w:r w:rsidR="00753EDF">
        <w:rPr>
          <w:rFonts w:ascii="Arial" w:hAnsi="Arial" w:cs="Arial"/>
        </w:rPr>
        <w:t xml:space="preserve">for the </w:t>
      </w:r>
      <w:r w:rsidR="00656B94">
        <w:rPr>
          <w:rFonts w:ascii="Arial" w:hAnsi="Arial" w:cs="Arial"/>
        </w:rPr>
        <w:t>PCC</w:t>
      </w:r>
      <w:r w:rsidR="00753EDF">
        <w:rPr>
          <w:rFonts w:ascii="Arial" w:hAnsi="Arial" w:cs="Arial"/>
        </w:rPr>
        <w:t xml:space="preserve"> </w:t>
      </w:r>
      <w:r w:rsidR="00EB0D82">
        <w:rPr>
          <w:rFonts w:ascii="Arial" w:hAnsi="Arial" w:cs="Arial"/>
        </w:rPr>
        <w:t>also referred to the deterrent function of discipline.</w:t>
      </w:r>
    </w:p>
    <w:p w14:paraId="3F104219" w14:textId="77777777" w:rsidR="00EB0D82" w:rsidRPr="00EB0D82" w:rsidRDefault="00EB0D82" w:rsidP="00EB0D82">
      <w:pPr>
        <w:pStyle w:val="ListParagraph"/>
        <w:rPr>
          <w:rFonts w:ascii="Arial" w:hAnsi="Arial" w:cs="Arial"/>
        </w:rPr>
      </w:pPr>
    </w:p>
    <w:p w14:paraId="5176959A" w14:textId="5ABF2188" w:rsidR="00945D4E" w:rsidRDefault="006A2A3C" w:rsidP="009417F6">
      <w:pPr>
        <w:pStyle w:val="ListParagraph"/>
        <w:numPr>
          <w:ilvl w:val="0"/>
          <w:numId w:val="18"/>
        </w:numPr>
        <w:spacing w:after="240" w:line="360" w:lineRule="auto"/>
        <w:jc w:val="both"/>
        <w:rPr>
          <w:rFonts w:ascii="Arial" w:hAnsi="Arial" w:cs="Arial"/>
        </w:rPr>
      </w:pPr>
      <w:r>
        <w:rPr>
          <w:rFonts w:ascii="Arial" w:hAnsi="Arial" w:cs="Arial"/>
        </w:rPr>
        <w:t xml:space="preserve">Counsel for the </w:t>
      </w:r>
      <w:r w:rsidR="00656B94">
        <w:rPr>
          <w:rFonts w:ascii="Arial" w:hAnsi="Arial" w:cs="Arial"/>
        </w:rPr>
        <w:t>PCC</w:t>
      </w:r>
      <w:r>
        <w:rPr>
          <w:rFonts w:ascii="Arial" w:hAnsi="Arial" w:cs="Arial"/>
        </w:rPr>
        <w:t xml:space="preserve"> provided helpful submissions setting out the principles of penalty, and we have taken these into account.  In short, penalty must reflect the principles and purposes of the Act. The multiple factors set out in </w:t>
      </w:r>
      <w:r w:rsidRPr="00A0726B">
        <w:rPr>
          <w:rFonts w:ascii="Arial" w:hAnsi="Arial" w:cs="Arial"/>
          <w:i/>
          <w:iCs/>
        </w:rPr>
        <w:t>Roberts v Professional Conduct Committee of the Nursing Council of New Zealand</w:t>
      </w:r>
      <w:r>
        <w:rPr>
          <w:rStyle w:val="FootnoteReference"/>
          <w:rFonts w:ascii="Arial" w:hAnsi="Arial" w:cs="Arial"/>
          <w:i/>
          <w:iCs/>
        </w:rPr>
        <w:footnoteReference w:id="11"/>
      </w:r>
      <w:r>
        <w:rPr>
          <w:rFonts w:ascii="Arial" w:hAnsi="Arial" w:cs="Arial"/>
        </w:rPr>
        <w:t xml:space="preserve"> are also applicable, </w:t>
      </w:r>
      <w:r w:rsidR="00945D4E">
        <w:rPr>
          <w:rFonts w:ascii="Arial" w:hAnsi="Arial" w:cs="Arial"/>
        </w:rPr>
        <w:t>For a case involving similar facts (to a degree) c</w:t>
      </w:r>
      <w:r w:rsidR="00EB0D82">
        <w:rPr>
          <w:rFonts w:ascii="Arial" w:hAnsi="Arial" w:cs="Arial"/>
        </w:rPr>
        <w:t xml:space="preserve">ounsel for the </w:t>
      </w:r>
      <w:r w:rsidR="00656B94">
        <w:rPr>
          <w:rFonts w:ascii="Arial" w:hAnsi="Arial" w:cs="Arial"/>
        </w:rPr>
        <w:t>PCC</w:t>
      </w:r>
      <w:r w:rsidR="00EB0D82">
        <w:rPr>
          <w:rFonts w:ascii="Arial" w:hAnsi="Arial" w:cs="Arial"/>
        </w:rPr>
        <w:t xml:space="preserve"> referred us to </w:t>
      </w:r>
      <w:r w:rsidR="00EB0D82" w:rsidRPr="00753EDF">
        <w:rPr>
          <w:rFonts w:ascii="Arial" w:hAnsi="Arial" w:cs="Arial"/>
          <w:i/>
          <w:iCs/>
        </w:rPr>
        <w:t>Professional Conduct Committee v R</w:t>
      </w:r>
      <w:r w:rsidR="00EB0D82">
        <w:rPr>
          <w:rStyle w:val="FootnoteReference"/>
          <w:rFonts w:ascii="Arial" w:hAnsi="Arial" w:cs="Arial"/>
        </w:rPr>
        <w:footnoteReference w:id="12"/>
      </w:r>
      <w:r w:rsidR="00EB0D82">
        <w:rPr>
          <w:rFonts w:ascii="Arial" w:hAnsi="Arial" w:cs="Arial"/>
        </w:rPr>
        <w:t xml:space="preserve"> a decision of the Health Practitioners Disciplinary Tribunal </w:t>
      </w:r>
      <w:r w:rsidR="004D524C">
        <w:rPr>
          <w:rFonts w:ascii="Arial" w:hAnsi="Arial" w:cs="Arial"/>
        </w:rPr>
        <w:t xml:space="preserve">(HPDT) </w:t>
      </w:r>
      <w:r w:rsidR="00EB0D82">
        <w:rPr>
          <w:rFonts w:ascii="Arial" w:hAnsi="Arial" w:cs="Arial"/>
        </w:rPr>
        <w:t>under the Health Practitioners Competence Assurance Act 2003</w:t>
      </w:r>
      <w:r w:rsidR="00945D4E">
        <w:rPr>
          <w:rFonts w:ascii="Arial" w:hAnsi="Arial" w:cs="Arial"/>
        </w:rPr>
        <w:t xml:space="preserve">. The practitioner faced </w:t>
      </w:r>
      <w:r w:rsidR="00EB0D82">
        <w:rPr>
          <w:rFonts w:ascii="Arial" w:hAnsi="Arial" w:cs="Arial"/>
        </w:rPr>
        <w:t xml:space="preserve">an array of charges </w:t>
      </w:r>
      <w:r w:rsidR="00945D4E">
        <w:rPr>
          <w:rFonts w:ascii="Arial" w:hAnsi="Arial" w:cs="Arial"/>
        </w:rPr>
        <w:t xml:space="preserve">including </w:t>
      </w:r>
      <w:r w:rsidR="00BF77AF">
        <w:rPr>
          <w:rFonts w:ascii="Arial" w:hAnsi="Arial" w:cs="Arial"/>
        </w:rPr>
        <w:t>referral of convictions under the HDC Act</w:t>
      </w:r>
      <w:r w:rsidR="00945D4E">
        <w:rPr>
          <w:rFonts w:ascii="Arial" w:hAnsi="Arial" w:cs="Arial"/>
        </w:rPr>
        <w:t>. The HPDT said:</w:t>
      </w:r>
    </w:p>
    <w:p w14:paraId="4D5613F4" w14:textId="77777777" w:rsidR="00945D4E" w:rsidRPr="00945D4E" w:rsidRDefault="00945D4E" w:rsidP="00945D4E">
      <w:pPr>
        <w:pStyle w:val="ListParagraph"/>
        <w:rPr>
          <w:rFonts w:ascii="Arial" w:hAnsi="Arial" w:cs="Arial"/>
        </w:rPr>
      </w:pPr>
    </w:p>
    <w:p w14:paraId="0F66D23C" w14:textId="6B3B09E7" w:rsidR="00945D4E" w:rsidRDefault="00945D4E" w:rsidP="00945D4E">
      <w:pPr>
        <w:pStyle w:val="ListParagraph"/>
        <w:spacing w:after="240" w:line="360" w:lineRule="auto"/>
        <w:ind w:left="1440"/>
        <w:jc w:val="both"/>
        <w:rPr>
          <w:rFonts w:ascii="Arial" w:hAnsi="Arial" w:cs="Arial"/>
          <w:sz w:val="20"/>
          <w:szCs w:val="20"/>
        </w:rPr>
      </w:pPr>
      <w:r w:rsidRPr="00C33D4D">
        <w:rPr>
          <w:rFonts w:ascii="Arial" w:hAnsi="Arial" w:cs="Arial"/>
          <w:sz w:val="20"/>
          <w:szCs w:val="20"/>
        </w:rPr>
        <w:t>[75] A finding that a conviction reflects adversely on a practitioner’s fitness to practise does not require a finding that there has been a breach of the professions Code of Ethics, but the Codes are one context in which to assess the practitioner’s conduct.</w:t>
      </w:r>
    </w:p>
    <w:p w14:paraId="20B2A486" w14:textId="77777777" w:rsidR="00C33D4D" w:rsidRDefault="00C33D4D" w:rsidP="00945D4E">
      <w:pPr>
        <w:pStyle w:val="ListParagraph"/>
        <w:spacing w:after="240" w:line="360" w:lineRule="auto"/>
        <w:ind w:left="1440"/>
        <w:jc w:val="both"/>
        <w:rPr>
          <w:rFonts w:ascii="Arial" w:hAnsi="Arial" w:cs="Arial"/>
          <w:sz w:val="20"/>
          <w:szCs w:val="20"/>
        </w:rPr>
      </w:pPr>
    </w:p>
    <w:p w14:paraId="5B1E9393" w14:textId="41F5545A" w:rsidR="00EB0D82" w:rsidRPr="00C33D4D" w:rsidRDefault="00945D4E" w:rsidP="00945D4E">
      <w:pPr>
        <w:pStyle w:val="ListParagraph"/>
        <w:spacing w:after="240" w:line="360" w:lineRule="auto"/>
        <w:ind w:left="1440"/>
        <w:jc w:val="both"/>
        <w:rPr>
          <w:rFonts w:ascii="Arial" w:hAnsi="Arial" w:cs="Arial"/>
          <w:sz w:val="20"/>
          <w:szCs w:val="20"/>
        </w:rPr>
      </w:pPr>
      <w:r w:rsidRPr="00C33D4D">
        <w:rPr>
          <w:rFonts w:ascii="Arial" w:hAnsi="Arial" w:cs="Arial"/>
          <w:sz w:val="20"/>
          <w:szCs w:val="20"/>
        </w:rPr>
        <w:t xml:space="preserve">[76] On the first conviction for emailing Ms [S], Mr [U] and Ms </w:t>
      </w:r>
      <w:r w:rsidR="00C33D4D">
        <w:rPr>
          <w:rFonts w:ascii="Arial" w:hAnsi="Arial" w:cs="Arial"/>
          <w:sz w:val="20"/>
          <w:szCs w:val="20"/>
        </w:rPr>
        <w:t>[</w:t>
      </w:r>
      <w:r w:rsidRPr="00C33D4D">
        <w:rPr>
          <w:rFonts w:ascii="Arial" w:hAnsi="Arial" w:cs="Arial"/>
          <w:sz w:val="20"/>
          <w:szCs w:val="20"/>
        </w:rPr>
        <w:t xml:space="preserve">A] the </w:t>
      </w:r>
      <w:r w:rsidR="00C33D4D" w:rsidRPr="00C33D4D">
        <w:rPr>
          <w:rFonts w:ascii="Arial" w:hAnsi="Arial" w:cs="Arial"/>
          <w:sz w:val="20"/>
          <w:szCs w:val="20"/>
        </w:rPr>
        <w:t>contact</w:t>
      </w:r>
      <w:r w:rsidRPr="00C33D4D">
        <w:rPr>
          <w:rFonts w:ascii="Arial" w:hAnsi="Arial" w:cs="Arial"/>
          <w:sz w:val="20"/>
          <w:szCs w:val="20"/>
        </w:rPr>
        <w:t xml:space="preserve"> was all aimed at harming Mr [G]. We agree…that his conduct raises serious questions about Mr [R]’s honesty, integrity, and respect for others…Under [the relevant professional code of ethics] he was obliged to act in a manner that promotes public trust and confidence in pharmacists and enhances the reputation of the profession. He sent emails under the name of [] and had his former partner pretend to be someone else in order to cause further harm …This was dishonest, lacked integrity and respect for others… it is conduct that might bring the profession into disrepute or impair the public’s confidence </w:t>
      </w:r>
      <w:r w:rsidR="00C33D4D" w:rsidRPr="00C33D4D">
        <w:rPr>
          <w:rFonts w:ascii="Arial" w:hAnsi="Arial" w:cs="Arial"/>
          <w:sz w:val="20"/>
          <w:szCs w:val="20"/>
        </w:rPr>
        <w:t>in the pharmacy profession …The Tribunal has no hesitation in finding that the conviction reflects adversely on Mr [R]’s fitness to practise.</w:t>
      </w:r>
    </w:p>
    <w:p w14:paraId="4DDA2BA7" w14:textId="77777777" w:rsidR="0051653A" w:rsidRDefault="0051653A" w:rsidP="0051653A">
      <w:pPr>
        <w:pStyle w:val="ListParagraph"/>
        <w:spacing w:after="240" w:line="360" w:lineRule="auto"/>
        <w:jc w:val="both"/>
        <w:rPr>
          <w:rFonts w:ascii="Arial" w:hAnsi="Arial" w:cs="Arial"/>
        </w:rPr>
      </w:pPr>
    </w:p>
    <w:p w14:paraId="0E1D584E" w14:textId="4855F154" w:rsidR="00AD0988" w:rsidRDefault="00AD0988" w:rsidP="009417F6">
      <w:pPr>
        <w:pStyle w:val="ListParagraph"/>
        <w:numPr>
          <w:ilvl w:val="0"/>
          <w:numId w:val="18"/>
        </w:numPr>
        <w:spacing w:after="240" w:line="360" w:lineRule="auto"/>
        <w:jc w:val="both"/>
        <w:rPr>
          <w:rFonts w:ascii="Arial" w:hAnsi="Arial" w:cs="Arial"/>
        </w:rPr>
      </w:pPr>
      <w:r>
        <w:rPr>
          <w:rFonts w:ascii="Arial" w:hAnsi="Arial" w:cs="Arial"/>
        </w:rPr>
        <w:t xml:space="preserve">It is </w:t>
      </w:r>
      <w:r w:rsidR="00C33D4D">
        <w:rPr>
          <w:rFonts w:ascii="Arial" w:hAnsi="Arial" w:cs="Arial"/>
        </w:rPr>
        <w:t>usual</w:t>
      </w:r>
      <w:r>
        <w:rPr>
          <w:rFonts w:ascii="Arial" w:hAnsi="Arial" w:cs="Arial"/>
        </w:rPr>
        <w:t xml:space="preserve"> to identify aggravating and mitigating factors when considering penalty.  </w:t>
      </w:r>
      <w:r w:rsidR="00C33D4D">
        <w:rPr>
          <w:rFonts w:ascii="Arial" w:hAnsi="Arial" w:cs="Arial"/>
        </w:rPr>
        <w:t>The following are</w:t>
      </w:r>
      <w:r>
        <w:rPr>
          <w:rFonts w:ascii="Arial" w:hAnsi="Arial" w:cs="Arial"/>
        </w:rPr>
        <w:t xml:space="preserve"> aggravating factors </w:t>
      </w:r>
      <w:r w:rsidR="00C33D4D">
        <w:rPr>
          <w:rFonts w:ascii="Arial" w:hAnsi="Arial" w:cs="Arial"/>
        </w:rPr>
        <w:t>in this case</w:t>
      </w:r>
      <w:r>
        <w:rPr>
          <w:rFonts w:ascii="Arial" w:hAnsi="Arial" w:cs="Arial"/>
        </w:rPr>
        <w:t>:</w:t>
      </w:r>
    </w:p>
    <w:p w14:paraId="056768D6" w14:textId="77777777" w:rsidR="0051653A" w:rsidRDefault="0051653A" w:rsidP="0051653A">
      <w:pPr>
        <w:pStyle w:val="ListParagraph"/>
        <w:spacing w:after="240" w:line="360" w:lineRule="auto"/>
        <w:jc w:val="both"/>
        <w:rPr>
          <w:rFonts w:ascii="Arial" w:hAnsi="Arial" w:cs="Arial"/>
        </w:rPr>
      </w:pPr>
    </w:p>
    <w:p w14:paraId="5DFEEB79" w14:textId="5A6D01D7" w:rsidR="00AD0988" w:rsidRDefault="00AD0988" w:rsidP="00AD0988">
      <w:pPr>
        <w:pStyle w:val="ListParagraph"/>
        <w:numPr>
          <w:ilvl w:val="1"/>
          <w:numId w:val="18"/>
        </w:numPr>
        <w:spacing w:after="240" w:line="360" w:lineRule="auto"/>
        <w:jc w:val="both"/>
        <w:rPr>
          <w:rFonts w:ascii="Arial" w:hAnsi="Arial" w:cs="Arial"/>
        </w:rPr>
      </w:pPr>
      <w:r>
        <w:rPr>
          <w:rFonts w:ascii="Arial" w:hAnsi="Arial" w:cs="Arial"/>
        </w:rPr>
        <w:t xml:space="preserve">The content and extent of the respondent’s online harassment. This was repeated misconduct and caused the </w:t>
      </w:r>
      <w:r w:rsidR="00EC3835">
        <w:rPr>
          <w:rFonts w:ascii="Arial" w:hAnsi="Arial" w:cs="Arial"/>
        </w:rPr>
        <w:t>victim</w:t>
      </w:r>
      <w:r>
        <w:rPr>
          <w:rFonts w:ascii="Arial" w:hAnsi="Arial" w:cs="Arial"/>
        </w:rPr>
        <w:t>s to fear for their safety.</w:t>
      </w:r>
    </w:p>
    <w:p w14:paraId="18AF9D6B" w14:textId="77777777" w:rsidR="0051653A" w:rsidRDefault="0051653A" w:rsidP="0051653A">
      <w:pPr>
        <w:pStyle w:val="ListParagraph"/>
        <w:spacing w:after="240" w:line="360" w:lineRule="auto"/>
        <w:ind w:left="1440"/>
        <w:jc w:val="both"/>
        <w:rPr>
          <w:rFonts w:ascii="Arial" w:hAnsi="Arial" w:cs="Arial"/>
        </w:rPr>
      </w:pPr>
    </w:p>
    <w:p w14:paraId="41A0AA23" w14:textId="1A4D17DA" w:rsidR="00AD0988" w:rsidRDefault="0051653A" w:rsidP="00AD0988">
      <w:pPr>
        <w:pStyle w:val="ListParagraph"/>
        <w:numPr>
          <w:ilvl w:val="1"/>
          <w:numId w:val="18"/>
        </w:numPr>
        <w:spacing w:after="240" w:line="360" w:lineRule="auto"/>
        <w:jc w:val="both"/>
        <w:rPr>
          <w:rFonts w:ascii="Arial" w:hAnsi="Arial" w:cs="Arial"/>
        </w:rPr>
      </w:pPr>
      <w:r>
        <w:rPr>
          <w:rFonts w:ascii="Arial" w:hAnsi="Arial" w:cs="Arial"/>
        </w:rPr>
        <w:t>The offending occurred while the respondent was under investigation by the PCC for conduct including similar behaviour.</w:t>
      </w:r>
    </w:p>
    <w:p w14:paraId="1EBF2B64" w14:textId="77777777" w:rsidR="0051653A" w:rsidRPr="0051653A" w:rsidRDefault="0051653A" w:rsidP="0051653A">
      <w:pPr>
        <w:pStyle w:val="ListParagraph"/>
        <w:rPr>
          <w:rFonts w:ascii="Arial" w:hAnsi="Arial" w:cs="Arial"/>
        </w:rPr>
      </w:pPr>
    </w:p>
    <w:p w14:paraId="1D80BD8E" w14:textId="22EC7730" w:rsidR="0051653A" w:rsidRDefault="0051653A" w:rsidP="00AD0988">
      <w:pPr>
        <w:pStyle w:val="ListParagraph"/>
        <w:numPr>
          <w:ilvl w:val="1"/>
          <w:numId w:val="18"/>
        </w:numPr>
        <w:spacing w:after="240" w:line="360" w:lineRule="auto"/>
        <w:jc w:val="both"/>
        <w:rPr>
          <w:rFonts w:ascii="Arial" w:hAnsi="Arial" w:cs="Arial"/>
        </w:rPr>
      </w:pPr>
      <w:r>
        <w:rPr>
          <w:rFonts w:ascii="Arial" w:hAnsi="Arial" w:cs="Arial"/>
        </w:rPr>
        <w:t>The failure to self-report. The respondent was an experienced social worker and ought to have been aware of this ethical obligation.</w:t>
      </w:r>
    </w:p>
    <w:p w14:paraId="24252ACD" w14:textId="77777777" w:rsidR="00826A3C" w:rsidRPr="00826A3C" w:rsidRDefault="00826A3C" w:rsidP="00826A3C">
      <w:pPr>
        <w:pStyle w:val="ListParagraph"/>
        <w:rPr>
          <w:rFonts w:ascii="Arial" w:hAnsi="Arial" w:cs="Arial"/>
        </w:rPr>
      </w:pPr>
    </w:p>
    <w:p w14:paraId="04E018D4" w14:textId="5F2D7C7F" w:rsidR="00826A3C" w:rsidRDefault="00826A3C" w:rsidP="00AD0988">
      <w:pPr>
        <w:pStyle w:val="ListParagraph"/>
        <w:numPr>
          <w:ilvl w:val="1"/>
          <w:numId w:val="18"/>
        </w:numPr>
        <w:spacing w:after="240" w:line="360" w:lineRule="auto"/>
        <w:jc w:val="both"/>
        <w:rPr>
          <w:rFonts w:ascii="Arial" w:hAnsi="Arial" w:cs="Arial"/>
        </w:rPr>
      </w:pPr>
      <w:r>
        <w:rPr>
          <w:rFonts w:ascii="Arial" w:hAnsi="Arial" w:cs="Arial"/>
        </w:rPr>
        <w:t>Apparent lack of insight and remorse.</w:t>
      </w:r>
      <w:r w:rsidR="009737AC">
        <w:rPr>
          <w:rFonts w:ascii="Arial" w:hAnsi="Arial" w:cs="Arial"/>
        </w:rPr>
        <w:t xml:space="preserve"> As submitted by counsel for the </w:t>
      </w:r>
      <w:r w:rsidR="00656B94">
        <w:rPr>
          <w:rFonts w:ascii="Arial" w:hAnsi="Arial" w:cs="Arial"/>
        </w:rPr>
        <w:t>PCC</w:t>
      </w:r>
      <w:r w:rsidR="009737AC">
        <w:rPr>
          <w:rFonts w:ascii="Arial" w:hAnsi="Arial" w:cs="Arial"/>
        </w:rPr>
        <w:t xml:space="preserve"> the respondent’s affidavit does not include any reference to her victims and the harm that was caused to them.</w:t>
      </w:r>
    </w:p>
    <w:p w14:paraId="64EC0C23" w14:textId="77777777" w:rsidR="00A0726B" w:rsidRPr="00A0726B" w:rsidRDefault="00A0726B" w:rsidP="00A0726B">
      <w:pPr>
        <w:pStyle w:val="ListParagraph"/>
        <w:rPr>
          <w:rFonts w:ascii="Arial" w:hAnsi="Arial" w:cs="Arial"/>
        </w:rPr>
      </w:pPr>
    </w:p>
    <w:p w14:paraId="40552991" w14:textId="03459243" w:rsidR="0051653A" w:rsidRDefault="00AD0988" w:rsidP="00826A3C">
      <w:pPr>
        <w:pStyle w:val="ListParagraph"/>
        <w:numPr>
          <w:ilvl w:val="0"/>
          <w:numId w:val="18"/>
        </w:numPr>
        <w:spacing w:after="240" w:line="360" w:lineRule="auto"/>
        <w:jc w:val="both"/>
        <w:rPr>
          <w:rFonts w:ascii="Arial" w:hAnsi="Arial" w:cs="Arial"/>
        </w:rPr>
      </w:pPr>
      <w:r>
        <w:rPr>
          <w:rFonts w:ascii="Arial" w:hAnsi="Arial" w:cs="Arial"/>
        </w:rPr>
        <w:t>With regard to mitigating factors</w:t>
      </w:r>
      <w:r w:rsidR="00C33D4D">
        <w:rPr>
          <w:rFonts w:ascii="Arial" w:hAnsi="Arial" w:cs="Arial"/>
        </w:rPr>
        <w:t>, the respondent plead</w:t>
      </w:r>
      <w:r w:rsidR="00EC3835">
        <w:rPr>
          <w:rFonts w:ascii="Arial" w:hAnsi="Arial" w:cs="Arial"/>
        </w:rPr>
        <w:t>ed</w:t>
      </w:r>
      <w:r w:rsidR="00C33D4D">
        <w:rPr>
          <w:rFonts w:ascii="Arial" w:hAnsi="Arial" w:cs="Arial"/>
        </w:rPr>
        <w:t xml:space="preserve"> guilty</w:t>
      </w:r>
      <w:r w:rsidR="0051653A" w:rsidRPr="00826A3C">
        <w:rPr>
          <w:rFonts w:ascii="Arial" w:hAnsi="Arial" w:cs="Arial"/>
        </w:rPr>
        <w:t xml:space="preserve"> both in the District Court and before th</w:t>
      </w:r>
      <w:r w:rsidR="00EF713E">
        <w:rPr>
          <w:rFonts w:ascii="Arial" w:hAnsi="Arial" w:cs="Arial"/>
        </w:rPr>
        <w:t>is</w:t>
      </w:r>
      <w:r w:rsidR="0051653A" w:rsidRPr="00826A3C">
        <w:rPr>
          <w:rFonts w:ascii="Arial" w:hAnsi="Arial" w:cs="Arial"/>
        </w:rPr>
        <w:t xml:space="preserve"> Tribunal.</w:t>
      </w:r>
      <w:r w:rsidR="00F772F6">
        <w:rPr>
          <w:rFonts w:ascii="Arial" w:hAnsi="Arial" w:cs="Arial"/>
        </w:rPr>
        <w:t xml:space="preserve"> The respondent’s affidavit </w:t>
      </w:r>
      <w:r w:rsidR="008D240F">
        <w:rPr>
          <w:rFonts w:ascii="Arial" w:hAnsi="Arial" w:cs="Arial"/>
        </w:rPr>
        <w:t>refers to her behaviour being “</w:t>
      </w:r>
      <w:r w:rsidR="008D240F" w:rsidRPr="00C33D4D">
        <w:rPr>
          <w:rFonts w:ascii="Arial" w:hAnsi="Arial" w:cs="Arial"/>
          <w:i/>
          <w:iCs/>
        </w:rPr>
        <w:t>very out of character</w:t>
      </w:r>
      <w:r w:rsidR="008D240F">
        <w:rPr>
          <w:rFonts w:ascii="Arial" w:hAnsi="Arial" w:cs="Arial"/>
        </w:rPr>
        <w:t xml:space="preserve">” and </w:t>
      </w:r>
      <w:r w:rsidR="00C33D4D">
        <w:rPr>
          <w:rFonts w:ascii="Arial" w:hAnsi="Arial" w:cs="Arial"/>
        </w:rPr>
        <w:t>that it arose out of bullying she says she experienced</w:t>
      </w:r>
      <w:r w:rsidR="008D240F">
        <w:rPr>
          <w:rFonts w:ascii="Arial" w:hAnsi="Arial" w:cs="Arial"/>
        </w:rPr>
        <w:t>. She states that she feels “</w:t>
      </w:r>
      <w:r w:rsidR="008D240F" w:rsidRPr="00C33D4D">
        <w:rPr>
          <w:rFonts w:ascii="Arial" w:hAnsi="Arial" w:cs="Arial"/>
          <w:i/>
          <w:iCs/>
        </w:rPr>
        <w:t>ashamed and sad about my actions but have had to accept this is part of the consequences of how I behaved</w:t>
      </w:r>
      <w:r w:rsidR="008D240F">
        <w:rPr>
          <w:rFonts w:ascii="Arial" w:hAnsi="Arial" w:cs="Arial"/>
        </w:rPr>
        <w:t>.” With regard to the impact of her mental health the respondent writes:</w:t>
      </w:r>
    </w:p>
    <w:p w14:paraId="243F87F6" w14:textId="77777777" w:rsidR="008D240F" w:rsidRDefault="008D240F" w:rsidP="008D240F">
      <w:pPr>
        <w:pStyle w:val="ListParagraph"/>
        <w:spacing w:after="240" w:line="360" w:lineRule="auto"/>
        <w:jc w:val="both"/>
        <w:rPr>
          <w:rFonts w:ascii="Arial" w:hAnsi="Arial" w:cs="Arial"/>
        </w:rPr>
      </w:pPr>
    </w:p>
    <w:p w14:paraId="6DAA38AC" w14:textId="46A3898C" w:rsidR="008D240F" w:rsidRPr="00C340C5" w:rsidRDefault="00C33D4D" w:rsidP="008D240F">
      <w:pPr>
        <w:pStyle w:val="ListParagraph"/>
        <w:spacing w:after="240" w:line="360" w:lineRule="auto"/>
        <w:ind w:left="1440"/>
        <w:jc w:val="both"/>
        <w:rPr>
          <w:rFonts w:ascii="Arial" w:hAnsi="Arial" w:cs="Arial"/>
          <w:sz w:val="20"/>
          <w:szCs w:val="20"/>
        </w:rPr>
      </w:pPr>
      <w:r w:rsidRPr="00C340C5">
        <w:rPr>
          <w:rFonts w:ascii="Arial" w:hAnsi="Arial" w:cs="Arial"/>
          <w:sz w:val="20"/>
          <w:szCs w:val="20"/>
        </w:rPr>
        <w:t xml:space="preserve">[7] </w:t>
      </w:r>
      <w:r w:rsidR="008D240F" w:rsidRPr="00C340C5">
        <w:rPr>
          <w:rFonts w:ascii="Arial" w:hAnsi="Arial" w:cs="Arial"/>
          <w:sz w:val="20"/>
          <w:szCs w:val="20"/>
        </w:rPr>
        <w:t>I was diagnosed with depression and began taking anti-depressant medication, prescribed by my General Practitioner at the time…</w:t>
      </w:r>
      <w:r w:rsidRPr="00C340C5">
        <w:rPr>
          <w:rFonts w:ascii="Arial" w:hAnsi="Arial" w:cs="Arial"/>
          <w:sz w:val="20"/>
          <w:szCs w:val="20"/>
        </w:rPr>
        <w:t>[</w:t>
      </w:r>
      <w:r w:rsidR="008D240F" w:rsidRPr="00C340C5">
        <w:rPr>
          <w:rFonts w:ascii="Arial" w:hAnsi="Arial" w:cs="Arial"/>
          <w:sz w:val="20"/>
          <w:szCs w:val="20"/>
        </w:rPr>
        <w:t xml:space="preserve">he] was very concerned about me and I began to regularly attend appointments so he could monitor my well-being. I also began attending counselling at </w:t>
      </w:r>
      <w:r w:rsidR="003171D1">
        <w:rPr>
          <w:rFonts w:ascii="Arial" w:hAnsi="Arial" w:cs="Arial"/>
          <w:sz w:val="20"/>
          <w:szCs w:val="20"/>
        </w:rPr>
        <w:t>[counselling centre]</w:t>
      </w:r>
      <w:r w:rsidR="008D240F" w:rsidRPr="00C340C5">
        <w:rPr>
          <w:rFonts w:ascii="Arial" w:hAnsi="Arial" w:cs="Arial"/>
          <w:sz w:val="20"/>
          <w:szCs w:val="20"/>
        </w:rPr>
        <w:t>.</w:t>
      </w:r>
    </w:p>
    <w:p w14:paraId="7663895C" w14:textId="77777777" w:rsidR="00C33D4D" w:rsidRPr="00C340C5" w:rsidRDefault="00C33D4D" w:rsidP="008D240F">
      <w:pPr>
        <w:pStyle w:val="ListParagraph"/>
        <w:spacing w:after="240" w:line="360" w:lineRule="auto"/>
        <w:ind w:left="1440"/>
        <w:jc w:val="both"/>
        <w:rPr>
          <w:rFonts w:ascii="Arial" w:hAnsi="Arial" w:cs="Arial"/>
          <w:sz w:val="20"/>
          <w:szCs w:val="20"/>
        </w:rPr>
      </w:pPr>
    </w:p>
    <w:p w14:paraId="16D2AFE1" w14:textId="73AE0D01" w:rsidR="008D240F" w:rsidRPr="00C340C5" w:rsidRDefault="00C33D4D" w:rsidP="008D240F">
      <w:pPr>
        <w:pStyle w:val="ListParagraph"/>
        <w:spacing w:after="240" w:line="360" w:lineRule="auto"/>
        <w:ind w:left="1440"/>
        <w:jc w:val="both"/>
        <w:rPr>
          <w:rFonts w:ascii="Arial" w:hAnsi="Arial" w:cs="Arial"/>
          <w:sz w:val="20"/>
          <w:szCs w:val="20"/>
        </w:rPr>
      </w:pPr>
      <w:r w:rsidRPr="00C340C5">
        <w:rPr>
          <w:rFonts w:ascii="Arial" w:hAnsi="Arial" w:cs="Arial"/>
          <w:sz w:val="20"/>
          <w:szCs w:val="20"/>
        </w:rPr>
        <w:t xml:space="preserve">[8] </w:t>
      </w:r>
      <w:r w:rsidR="008D240F" w:rsidRPr="00C340C5">
        <w:rPr>
          <w:rFonts w:ascii="Arial" w:hAnsi="Arial" w:cs="Arial"/>
          <w:sz w:val="20"/>
          <w:szCs w:val="20"/>
        </w:rPr>
        <w:t xml:space="preserve">I decided not to engage </w:t>
      </w:r>
      <w:r w:rsidRPr="00C340C5">
        <w:rPr>
          <w:rFonts w:ascii="Arial" w:hAnsi="Arial" w:cs="Arial"/>
          <w:sz w:val="20"/>
          <w:szCs w:val="20"/>
        </w:rPr>
        <w:t>i</w:t>
      </w:r>
      <w:r w:rsidR="008D240F" w:rsidRPr="00C340C5">
        <w:rPr>
          <w:rFonts w:ascii="Arial" w:hAnsi="Arial" w:cs="Arial"/>
          <w:sz w:val="20"/>
          <w:szCs w:val="20"/>
        </w:rPr>
        <w:t xml:space="preserve">n the </w:t>
      </w:r>
      <w:r w:rsidRPr="00C340C5">
        <w:rPr>
          <w:rFonts w:ascii="Arial" w:hAnsi="Arial" w:cs="Arial"/>
          <w:sz w:val="20"/>
          <w:szCs w:val="20"/>
        </w:rPr>
        <w:t xml:space="preserve">[first] </w:t>
      </w:r>
      <w:r w:rsidR="008D240F" w:rsidRPr="00C340C5">
        <w:rPr>
          <w:rFonts w:ascii="Arial" w:hAnsi="Arial" w:cs="Arial"/>
          <w:sz w:val="20"/>
          <w:szCs w:val="20"/>
        </w:rPr>
        <w:t>disciplinary proceedings because of my mental health and the impact it would have on me.</w:t>
      </w:r>
    </w:p>
    <w:p w14:paraId="2F281E3A" w14:textId="77777777" w:rsidR="00C33D4D" w:rsidRPr="00C340C5" w:rsidRDefault="00C33D4D" w:rsidP="008D240F">
      <w:pPr>
        <w:pStyle w:val="ListParagraph"/>
        <w:spacing w:after="240" w:line="360" w:lineRule="auto"/>
        <w:ind w:left="1440"/>
        <w:jc w:val="both"/>
        <w:rPr>
          <w:rFonts w:ascii="Arial" w:hAnsi="Arial" w:cs="Arial"/>
          <w:sz w:val="20"/>
          <w:szCs w:val="20"/>
        </w:rPr>
      </w:pPr>
    </w:p>
    <w:p w14:paraId="6CEACC08" w14:textId="5003C60F" w:rsidR="008D240F" w:rsidRPr="00C340C5" w:rsidRDefault="00C33D4D" w:rsidP="008D240F">
      <w:pPr>
        <w:pStyle w:val="ListParagraph"/>
        <w:spacing w:after="240" w:line="360" w:lineRule="auto"/>
        <w:ind w:left="1440"/>
        <w:jc w:val="both"/>
        <w:rPr>
          <w:rFonts w:ascii="Arial" w:hAnsi="Arial" w:cs="Arial"/>
          <w:sz w:val="20"/>
          <w:szCs w:val="20"/>
        </w:rPr>
      </w:pPr>
      <w:r w:rsidRPr="00C340C5">
        <w:rPr>
          <w:rFonts w:ascii="Arial" w:hAnsi="Arial" w:cs="Arial"/>
          <w:sz w:val="20"/>
          <w:szCs w:val="20"/>
        </w:rPr>
        <w:t xml:space="preserve">[9] </w:t>
      </w:r>
      <w:r w:rsidR="008D240F" w:rsidRPr="00C340C5">
        <w:rPr>
          <w:rFonts w:ascii="Arial" w:hAnsi="Arial" w:cs="Arial"/>
          <w:sz w:val="20"/>
          <w:szCs w:val="20"/>
        </w:rPr>
        <w:t>Months after I was convicted for my offending, the tribunal released a decision censuring me and cancelling my registration. This decision was initially difficult to accept, but eventually I came to terms with the fact that I could no longer work as a Social Worker and my career in that field was over.</w:t>
      </w:r>
    </w:p>
    <w:p w14:paraId="67AD131B" w14:textId="77777777" w:rsidR="00F772F6" w:rsidRDefault="00F772F6" w:rsidP="00F772F6">
      <w:pPr>
        <w:pStyle w:val="ListParagraph"/>
        <w:spacing w:after="240" w:line="360" w:lineRule="auto"/>
        <w:jc w:val="both"/>
        <w:rPr>
          <w:rFonts w:ascii="Arial" w:hAnsi="Arial" w:cs="Arial"/>
        </w:rPr>
      </w:pPr>
    </w:p>
    <w:p w14:paraId="5C7A3411" w14:textId="461178A4" w:rsidR="008D240F" w:rsidRDefault="00826A3C" w:rsidP="00575B48">
      <w:pPr>
        <w:pStyle w:val="ListParagraph"/>
        <w:numPr>
          <w:ilvl w:val="0"/>
          <w:numId w:val="18"/>
        </w:numPr>
        <w:spacing w:after="240" w:line="360" w:lineRule="auto"/>
        <w:jc w:val="both"/>
        <w:rPr>
          <w:rFonts w:ascii="Arial" w:hAnsi="Arial" w:cs="Arial"/>
        </w:rPr>
      </w:pPr>
      <w:r w:rsidRPr="00EB0D82">
        <w:rPr>
          <w:rFonts w:ascii="Arial" w:hAnsi="Arial" w:cs="Arial"/>
        </w:rPr>
        <w:t xml:space="preserve">The </w:t>
      </w:r>
      <w:r w:rsidR="008D240F">
        <w:rPr>
          <w:rFonts w:ascii="Arial" w:hAnsi="Arial" w:cs="Arial"/>
        </w:rPr>
        <w:t>respondent refer</w:t>
      </w:r>
      <w:r w:rsidR="00EF713E">
        <w:rPr>
          <w:rFonts w:ascii="Arial" w:hAnsi="Arial" w:cs="Arial"/>
        </w:rPr>
        <w:t>s</w:t>
      </w:r>
      <w:r w:rsidR="008D240F">
        <w:rPr>
          <w:rFonts w:ascii="Arial" w:hAnsi="Arial" w:cs="Arial"/>
        </w:rPr>
        <w:t xml:space="preserve"> to her decision to </w:t>
      </w:r>
      <w:r w:rsidR="00C33D4D">
        <w:rPr>
          <w:rFonts w:ascii="Arial" w:hAnsi="Arial" w:cs="Arial"/>
        </w:rPr>
        <w:t>undertake post-graduate studies and enter a different field</w:t>
      </w:r>
      <w:r w:rsidR="008D240F">
        <w:rPr>
          <w:rFonts w:ascii="Arial" w:hAnsi="Arial" w:cs="Arial"/>
        </w:rPr>
        <w:t>.</w:t>
      </w:r>
      <w:r w:rsidR="00B04BD6">
        <w:rPr>
          <w:rFonts w:ascii="Arial" w:hAnsi="Arial" w:cs="Arial"/>
        </w:rPr>
        <w:t xml:space="preserve"> She has held some part time work while studying</w:t>
      </w:r>
      <w:r w:rsidR="00EF713E">
        <w:rPr>
          <w:rFonts w:ascii="Arial" w:hAnsi="Arial" w:cs="Arial"/>
        </w:rPr>
        <w:t>,</w:t>
      </w:r>
      <w:r w:rsidR="00B04BD6">
        <w:rPr>
          <w:rFonts w:ascii="Arial" w:hAnsi="Arial" w:cs="Arial"/>
        </w:rPr>
        <w:t xml:space="preserve"> but states that she “</w:t>
      </w:r>
      <w:r w:rsidR="00B04BD6" w:rsidRPr="009737AC">
        <w:rPr>
          <w:rFonts w:ascii="Arial" w:hAnsi="Arial" w:cs="Arial"/>
          <w:i/>
          <w:iCs/>
        </w:rPr>
        <w:t>recently</w:t>
      </w:r>
      <w:r w:rsidR="00B04BD6">
        <w:rPr>
          <w:rFonts w:ascii="Arial" w:hAnsi="Arial" w:cs="Arial"/>
        </w:rPr>
        <w:t xml:space="preserve">” lost </w:t>
      </w:r>
      <w:r w:rsidR="00EF713E">
        <w:rPr>
          <w:rFonts w:ascii="Arial" w:hAnsi="Arial" w:cs="Arial"/>
        </w:rPr>
        <w:t xml:space="preserve">this </w:t>
      </w:r>
      <w:r w:rsidR="00B04BD6">
        <w:rPr>
          <w:rFonts w:ascii="Arial" w:hAnsi="Arial" w:cs="Arial"/>
        </w:rPr>
        <w:t xml:space="preserve">employment and believes that this was </w:t>
      </w:r>
      <w:r w:rsidR="005163CB">
        <w:rPr>
          <w:rFonts w:ascii="Arial" w:hAnsi="Arial" w:cs="Arial"/>
        </w:rPr>
        <w:t>due to</w:t>
      </w:r>
      <w:r w:rsidR="00B04BD6">
        <w:rPr>
          <w:rFonts w:ascii="Arial" w:hAnsi="Arial" w:cs="Arial"/>
        </w:rPr>
        <w:t xml:space="preserve"> her employer learning of the publicity around her earlier </w:t>
      </w:r>
      <w:r w:rsidR="00AE0C7A">
        <w:rPr>
          <w:rFonts w:ascii="Arial" w:hAnsi="Arial" w:cs="Arial"/>
        </w:rPr>
        <w:t>disciplinary proceedings</w:t>
      </w:r>
      <w:r w:rsidR="00B04BD6">
        <w:rPr>
          <w:rFonts w:ascii="Arial" w:hAnsi="Arial" w:cs="Arial"/>
        </w:rPr>
        <w:t>.</w:t>
      </w:r>
      <w:r w:rsidR="00B04BD6">
        <w:rPr>
          <w:rStyle w:val="FootnoteReference"/>
          <w:rFonts w:ascii="Arial" w:hAnsi="Arial" w:cs="Arial"/>
        </w:rPr>
        <w:footnoteReference w:id="13"/>
      </w:r>
      <w:r w:rsidR="00E4007B">
        <w:rPr>
          <w:rFonts w:ascii="Arial" w:hAnsi="Arial" w:cs="Arial"/>
        </w:rPr>
        <w:t xml:space="preserve"> In response to a question from the Tribunal</w:t>
      </w:r>
      <w:r w:rsidR="00EC3835">
        <w:rPr>
          <w:rFonts w:ascii="Arial" w:hAnsi="Arial" w:cs="Arial"/>
        </w:rPr>
        <w:t>,</w:t>
      </w:r>
      <w:r w:rsidR="00E4007B">
        <w:rPr>
          <w:rFonts w:ascii="Arial" w:hAnsi="Arial" w:cs="Arial"/>
        </w:rPr>
        <w:t xml:space="preserve"> counsel for the respondent advised that she continues to </w:t>
      </w:r>
      <w:r w:rsidR="005163CB">
        <w:rPr>
          <w:rFonts w:ascii="Arial" w:hAnsi="Arial" w:cs="Arial"/>
        </w:rPr>
        <w:t>study</w:t>
      </w:r>
      <w:r w:rsidR="00E4007B">
        <w:rPr>
          <w:rFonts w:ascii="Arial" w:hAnsi="Arial" w:cs="Arial"/>
        </w:rPr>
        <w:t xml:space="preserve"> towards a qualification and has not obtained employment.</w:t>
      </w:r>
    </w:p>
    <w:p w14:paraId="656D566C" w14:textId="77777777" w:rsidR="00C33D4D" w:rsidRDefault="00C33D4D" w:rsidP="00C33D4D">
      <w:pPr>
        <w:pStyle w:val="ListParagraph"/>
        <w:spacing w:after="240" w:line="360" w:lineRule="auto"/>
        <w:jc w:val="both"/>
        <w:rPr>
          <w:rFonts w:ascii="Arial" w:hAnsi="Arial" w:cs="Arial"/>
        </w:rPr>
      </w:pPr>
    </w:p>
    <w:p w14:paraId="30D7B58B" w14:textId="4A2522D4" w:rsidR="00826A3C" w:rsidRDefault="00B04BD6" w:rsidP="00575B48">
      <w:pPr>
        <w:pStyle w:val="ListParagraph"/>
        <w:numPr>
          <w:ilvl w:val="0"/>
          <w:numId w:val="18"/>
        </w:numPr>
        <w:spacing w:after="240" w:line="360" w:lineRule="auto"/>
        <w:jc w:val="both"/>
        <w:rPr>
          <w:rFonts w:ascii="Arial" w:hAnsi="Arial" w:cs="Arial"/>
        </w:rPr>
      </w:pPr>
      <w:r>
        <w:rPr>
          <w:rFonts w:ascii="Arial" w:hAnsi="Arial" w:cs="Arial"/>
        </w:rPr>
        <w:t xml:space="preserve">The </w:t>
      </w:r>
      <w:r w:rsidR="00826A3C" w:rsidRPr="00EB0D82">
        <w:rPr>
          <w:rFonts w:ascii="Arial" w:hAnsi="Arial" w:cs="Arial"/>
        </w:rPr>
        <w:t xml:space="preserve">Tribunal was concerned at the potential harm that can be caused by online harassment and abuse, and that </w:t>
      </w:r>
      <w:r>
        <w:rPr>
          <w:rFonts w:ascii="Arial" w:hAnsi="Arial" w:cs="Arial"/>
        </w:rPr>
        <w:t xml:space="preserve">social workers should be very aware of this </w:t>
      </w:r>
      <w:r w:rsidR="00826A3C" w:rsidRPr="00EB0D82">
        <w:rPr>
          <w:rFonts w:ascii="Arial" w:hAnsi="Arial" w:cs="Arial"/>
        </w:rPr>
        <w:t xml:space="preserve">through their training and </w:t>
      </w:r>
      <w:r>
        <w:rPr>
          <w:rFonts w:ascii="Arial" w:hAnsi="Arial" w:cs="Arial"/>
        </w:rPr>
        <w:t>practise</w:t>
      </w:r>
      <w:r w:rsidR="009737AC">
        <w:rPr>
          <w:rFonts w:ascii="Arial" w:hAnsi="Arial" w:cs="Arial"/>
        </w:rPr>
        <w:t xml:space="preserve"> and be careful to avoid engaging in such conduct</w:t>
      </w:r>
      <w:r w:rsidR="00826A3C" w:rsidRPr="00EB0D82">
        <w:rPr>
          <w:rFonts w:ascii="Arial" w:hAnsi="Arial" w:cs="Arial"/>
        </w:rPr>
        <w:t>.</w:t>
      </w:r>
    </w:p>
    <w:p w14:paraId="534AFF78" w14:textId="77777777" w:rsidR="00EB0D82" w:rsidRPr="00EB0D82" w:rsidRDefault="00EB0D82" w:rsidP="00EB0D82">
      <w:pPr>
        <w:pStyle w:val="ListParagraph"/>
        <w:spacing w:after="240" w:line="360" w:lineRule="auto"/>
        <w:jc w:val="both"/>
        <w:rPr>
          <w:rFonts w:ascii="Arial" w:hAnsi="Arial" w:cs="Arial"/>
        </w:rPr>
      </w:pPr>
    </w:p>
    <w:p w14:paraId="759C41DD" w14:textId="4756D88F" w:rsidR="009737AC" w:rsidRDefault="009737AC" w:rsidP="00826A3C">
      <w:pPr>
        <w:pStyle w:val="ListParagraph"/>
        <w:numPr>
          <w:ilvl w:val="0"/>
          <w:numId w:val="18"/>
        </w:numPr>
        <w:spacing w:after="240" w:line="360" w:lineRule="auto"/>
        <w:jc w:val="both"/>
        <w:rPr>
          <w:rFonts w:ascii="Arial" w:hAnsi="Arial" w:cs="Arial"/>
        </w:rPr>
      </w:pPr>
      <w:r>
        <w:rPr>
          <w:rFonts w:ascii="Arial" w:hAnsi="Arial" w:cs="Arial"/>
        </w:rPr>
        <w:t>Perhaps</w:t>
      </w:r>
      <w:r w:rsidR="0099746E">
        <w:rPr>
          <w:rFonts w:ascii="Arial" w:hAnsi="Arial" w:cs="Arial"/>
        </w:rPr>
        <w:t xml:space="preserve"> because of the cancellation of the respondent’s registration</w:t>
      </w:r>
      <w:r>
        <w:rPr>
          <w:rFonts w:ascii="Arial" w:hAnsi="Arial" w:cs="Arial"/>
        </w:rPr>
        <w:t>,</w:t>
      </w:r>
      <w:r w:rsidR="0099746E">
        <w:rPr>
          <w:rFonts w:ascii="Arial" w:hAnsi="Arial" w:cs="Arial"/>
        </w:rPr>
        <w:t xml:space="preserve"> we were not given </w:t>
      </w:r>
      <w:r>
        <w:rPr>
          <w:rFonts w:ascii="Arial" w:hAnsi="Arial" w:cs="Arial"/>
        </w:rPr>
        <w:t xml:space="preserve">evidence as </w:t>
      </w:r>
      <w:r w:rsidR="0099746E">
        <w:rPr>
          <w:rFonts w:ascii="Arial" w:hAnsi="Arial" w:cs="Arial"/>
        </w:rPr>
        <w:t>to the prospects of rehabilitation</w:t>
      </w:r>
      <w:r>
        <w:rPr>
          <w:rFonts w:ascii="Arial" w:hAnsi="Arial" w:cs="Arial"/>
        </w:rPr>
        <w:t>. For example</w:t>
      </w:r>
      <w:r w:rsidR="00382171">
        <w:rPr>
          <w:rFonts w:ascii="Arial" w:hAnsi="Arial" w:cs="Arial"/>
        </w:rPr>
        <w:t>,</w:t>
      </w:r>
      <w:r>
        <w:rPr>
          <w:rFonts w:ascii="Arial" w:hAnsi="Arial" w:cs="Arial"/>
        </w:rPr>
        <w:t xml:space="preserve"> the Tribunal is usually assisted by a respondent’s</w:t>
      </w:r>
      <w:r w:rsidR="00826A3C">
        <w:rPr>
          <w:rFonts w:ascii="Arial" w:hAnsi="Arial" w:cs="Arial"/>
        </w:rPr>
        <w:t xml:space="preserve"> reflections on the conduct at issue and factors which influenced their behaviour, and any steps taken professionally and/or personally to ensure that similar conduct would not occur again. </w:t>
      </w:r>
    </w:p>
    <w:p w14:paraId="0697B353" w14:textId="77777777" w:rsidR="009737AC" w:rsidRPr="009737AC" w:rsidRDefault="009737AC" w:rsidP="009737AC">
      <w:pPr>
        <w:pStyle w:val="ListParagraph"/>
        <w:rPr>
          <w:rFonts w:ascii="Arial" w:hAnsi="Arial" w:cs="Arial"/>
        </w:rPr>
      </w:pPr>
    </w:p>
    <w:p w14:paraId="5D8F1A2C" w14:textId="07E4B9AA" w:rsidR="00826A3C" w:rsidRPr="00826A3C" w:rsidRDefault="00453153" w:rsidP="00826A3C">
      <w:pPr>
        <w:pStyle w:val="ListParagraph"/>
        <w:numPr>
          <w:ilvl w:val="0"/>
          <w:numId w:val="18"/>
        </w:numPr>
        <w:spacing w:after="240" w:line="360" w:lineRule="auto"/>
        <w:jc w:val="both"/>
        <w:rPr>
          <w:rFonts w:ascii="Arial" w:hAnsi="Arial" w:cs="Arial"/>
        </w:rPr>
      </w:pPr>
      <w:r>
        <w:rPr>
          <w:rFonts w:ascii="Arial" w:hAnsi="Arial" w:cs="Arial"/>
        </w:rPr>
        <w:t xml:space="preserve">Having to determine </w:t>
      </w:r>
      <w:r w:rsidR="00EC3835">
        <w:rPr>
          <w:rFonts w:ascii="Arial" w:hAnsi="Arial" w:cs="Arial"/>
        </w:rPr>
        <w:t>this</w:t>
      </w:r>
      <w:r>
        <w:rPr>
          <w:rFonts w:ascii="Arial" w:hAnsi="Arial" w:cs="Arial"/>
        </w:rPr>
        <w:t xml:space="preserve"> matter on the basis </w:t>
      </w:r>
      <w:r w:rsidR="00BA30F5">
        <w:rPr>
          <w:rFonts w:ascii="Arial" w:hAnsi="Arial" w:cs="Arial"/>
        </w:rPr>
        <w:t xml:space="preserve">only </w:t>
      </w:r>
      <w:r>
        <w:rPr>
          <w:rFonts w:ascii="Arial" w:hAnsi="Arial" w:cs="Arial"/>
        </w:rPr>
        <w:t xml:space="preserve">of </w:t>
      </w:r>
      <w:r w:rsidR="00BA30F5">
        <w:rPr>
          <w:rFonts w:ascii="Arial" w:hAnsi="Arial" w:cs="Arial"/>
        </w:rPr>
        <w:t xml:space="preserve">the </w:t>
      </w:r>
      <w:r>
        <w:rPr>
          <w:rFonts w:ascii="Arial" w:hAnsi="Arial" w:cs="Arial"/>
        </w:rPr>
        <w:t>evidence before us</w:t>
      </w:r>
      <w:r w:rsidR="00EC3835">
        <w:rPr>
          <w:rFonts w:ascii="Arial" w:hAnsi="Arial" w:cs="Arial"/>
        </w:rPr>
        <w:t>,</w:t>
      </w:r>
      <w:r>
        <w:rPr>
          <w:rFonts w:ascii="Arial" w:hAnsi="Arial" w:cs="Arial"/>
        </w:rPr>
        <w:t xml:space="preserve"> and </w:t>
      </w:r>
      <w:r w:rsidR="00826A3C">
        <w:rPr>
          <w:rFonts w:ascii="Arial" w:hAnsi="Arial" w:cs="Arial"/>
        </w:rPr>
        <w:t>given the nature of the offending</w:t>
      </w:r>
      <w:r w:rsidR="00EC3835">
        <w:rPr>
          <w:rFonts w:ascii="Arial" w:hAnsi="Arial" w:cs="Arial"/>
        </w:rPr>
        <w:t>,</w:t>
      </w:r>
      <w:r w:rsidR="00826A3C">
        <w:rPr>
          <w:rFonts w:ascii="Arial" w:hAnsi="Arial" w:cs="Arial"/>
        </w:rPr>
        <w:t xml:space="preserve"> we would have ordered cancellation.</w:t>
      </w:r>
      <w:r>
        <w:rPr>
          <w:rFonts w:ascii="Arial" w:hAnsi="Arial" w:cs="Arial"/>
        </w:rPr>
        <w:t xml:space="preserve"> </w:t>
      </w:r>
      <w:r w:rsidR="006A2A3C">
        <w:rPr>
          <w:rFonts w:ascii="Arial" w:hAnsi="Arial" w:cs="Arial"/>
        </w:rPr>
        <w:t>The nature of the offending was serious, and there is no evidence that a rehabilitative penalty would be appropriate in this particular case.</w:t>
      </w:r>
      <w:r w:rsidR="00A0726B">
        <w:rPr>
          <w:rFonts w:ascii="Arial" w:hAnsi="Arial" w:cs="Arial"/>
        </w:rPr>
        <w:t xml:space="preserve">  </w:t>
      </w:r>
      <w:r>
        <w:rPr>
          <w:rFonts w:ascii="Arial" w:hAnsi="Arial" w:cs="Arial"/>
        </w:rPr>
        <w:t>A censure would also be appropriate.</w:t>
      </w:r>
      <w:r w:rsidR="005163CB">
        <w:rPr>
          <w:rFonts w:ascii="Arial" w:hAnsi="Arial" w:cs="Arial"/>
        </w:rPr>
        <w:t xml:space="preserve">  </w:t>
      </w:r>
      <w:r w:rsidR="00A0726B">
        <w:rPr>
          <w:rFonts w:ascii="Arial" w:hAnsi="Arial" w:cs="Arial"/>
        </w:rPr>
        <w:t xml:space="preserve">We consider that such a finding is consistent with other cases where the Tribunal has cancelled registration for misconduct of a serious nature and where there is a lack of evidence of the ability to mitigate future risk of harm to members of the public or profession through rehabilitative steps. Counsel for the </w:t>
      </w:r>
      <w:r w:rsidR="00656B94">
        <w:rPr>
          <w:rFonts w:ascii="Arial" w:hAnsi="Arial" w:cs="Arial"/>
        </w:rPr>
        <w:t>PCC</w:t>
      </w:r>
      <w:r w:rsidR="00A0726B">
        <w:rPr>
          <w:rFonts w:ascii="Arial" w:hAnsi="Arial" w:cs="Arial"/>
        </w:rPr>
        <w:t xml:space="preserve"> also referred us to cases of cancellation in the HPDT where the charge involved allegations of harassment, in the absence of directly </w:t>
      </w:r>
      <w:r w:rsidR="0038734E">
        <w:rPr>
          <w:rFonts w:ascii="Arial" w:hAnsi="Arial" w:cs="Arial"/>
        </w:rPr>
        <w:t>analogous</w:t>
      </w:r>
      <w:r w:rsidR="00A0726B">
        <w:rPr>
          <w:rFonts w:ascii="Arial" w:hAnsi="Arial" w:cs="Arial"/>
        </w:rPr>
        <w:t xml:space="preserve"> cases in this jurisdiction (other than the respondent’s own).</w:t>
      </w:r>
      <w:r w:rsidR="00A0726B">
        <w:rPr>
          <w:rStyle w:val="FootnoteReference"/>
          <w:rFonts w:ascii="Arial" w:hAnsi="Arial" w:cs="Arial"/>
        </w:rPr>
        <w:footnoteReference w:id="14"/>
      </w:r>
    </w:p>
    <w:p w14:paraId="1D261CCF" w14:textId="26D02D5C" w:rsidR="00AD0988" w:rsidRPr="00AD0988" w:rsidRDefault="00AD0988" w:rsidP="00AD0988">
      <w:pPr>
        <w:spacing w:after="240" w:line="360" w:lineRule="auto"/>
        <w:ind w:left="360"/>
        <w:jc w:val="both"/>
        <w:rPr>
          <w:rFonts w:ascii="Arial" w:hAnsi="Arial" w:cs="Arial"/>
          <w:b/>
          <w:bCs/>
        </w:rPr>
      </w:pPr>
      <w:r w:rsidRPr="00AD0988">
        <w:rPr>
          <w:rFonts w:ascii="Arial" w:hAnsi="Arial" w:cs="Arial"/>
          <w:b/>
          <w:bCs/>
        </w:rPr>
        <w:t>Non-Publication</w:t>
      </w:r>
    </w:p>
    <w:p w14:paraId="65875704" w14:textId="7E43B655" w:rsidR="00453153" w:rsidRDefault="00EB0D82" w:rsidP="009417F6">
      <w:pPr>
        <w:pStyle w:val="ListParagraph"/>
        <w:numPr>
          <w:ilvl w:val="0"/>
          <w:numId w:val="18"/>
        </w:numPr>
        <w:spacing w:after="240" w:line="360" w:lineRule="auto"/>
        <w:jc w:val="both"/>
        <w:rPr>
          <w:rFonts w:ascii="Arial" w:hAnsi="Arial" w:cs="Arial"/>
        </w:rPr>
      </w:pPr>
      <w:r>
        <w:rPr>
          <w:rFonts w:ascii="Arial" w:hAnsi="Arial" w:cs="Arial"/>
        </w:rPr>
        <w:t xml:space="preserve">The respondent made an application for permanent orders suppressing publication of her name and identifying particulars, supported by </w:t>
      </w:r>
      <w:r w:rsidR="00453153">
        <w:rPr>
          <w:rFonts w:ascii="Arial" w:hAnsi="Arial" w:cs="Arial"/>
        </w:rPr>
        <w:t>the</w:t>
      </w:r>
      <w:r>
        <w:rPr>
          <w:rFonts w:ascii="Arial" w:hAnsi="Arial" w:cs="Arial"/>
        </w:rPr>
        <w:t xml:space="preserve"> affidavit</w:t>
      </w:r>
      <w:r w:rsidR="00453153">
        <w:rPr>
          <w:rFonts w:ascii="Arial" w:hAnsi="Arial" w:cs="Arial"/>
        </w:rPr>
        <w:t xml:space="preserve"> already referred to</w:t>
      </w:r>
      <w:r>
        <w:rPr>
          <w:rFonts w:ascii="Arial" w:hAnsi="Arial" w:cs="Arial"/>
        </w:rPr>
        <w:t>.</w:t>
      </w:r>
      <w:r w:rsidR="00453153">
        <w:rPr>
          <w:rFonts w:ascii="Arial" w:hAnsi="Arial" w:cs="Arial"/>
        </w:rPr>
        <w:t xml:space="preserve"> </w:t>
      </w:r>
      <w:r w:rsidR="00545F81">
        <w:rPr>
          <w:rFonts w:ascii="Arial" w:hAnsi="Arial" w:cs="Arial"/>
        </w:rPr>
        <w:t>Interim orders were made by the Chair prior to the hearing pending determination of any permanent orders by the full Tribunal.</w:t>
      </w:r>
    </w:p>
    <w:p w14:paraId="4818B801" w14:textId="1132D0F7" w:rsidR="00EB0D82" w:rsidRDefault="00EB0D82" w:rsidP="00453153">
      <w:pPr>
        <w:pStyle w:val="ListParagraph"/>
        <w:spacing w:after="240" w:line="360" w:lineRule="auto"/>
        <w:jc w:val="both"/>
        <w:rPr>
          <w:rFonts w:ascii="Arial" w:hAnsi="Arial" w:cs="Arial"/>
        </w:rPr>
      </w:pPr>
      <w:r>
        <w:rPr>
          <w:rFonts w:ascii="Arial" w:hAnsi="Arial" w:cs="Arial"/>
        </w:rPr>
        <w:t xml:space="preserve"> </w:t>
      </w:r>
    </w:p>
    <w:p w14:paraId="3CF7B079" w14:textId="779BD3BA" w:rsidR="00EF507E" w:rsidRDefault="00EB0D82" w:rsidP="009417F6">
      <w:pPr>
        <w:pStyle w:val="ListParagraph"/>
        <w:numPr>
          <w:ilvl w:val="0"/>
          <w:numId w:val="18"/>
        </w:numPr>
        <w:spacing w:after="240" w:line="360" w:lineRule="auto"/>
        <w:jc w:val="both"/>
        <w:rPr>
          <w:rFonts w:ascii="Arial" w:hAnsi="Arial" w:cs="Arial"/>
        </w:rPr>
      </w:pPr>
      <w:r>
        <w:rPr>
          <w:rFonts w:ascii="Arial" w:hAnsi="Arial" w:cs="Arial"/>
        </w:rPr>
        <w:t xml:space="preserve">The power of the Tribunal to make </w:t>
      </w:r>
      <w:r w:rsidR="009737AC">
        <w:rPr>
          <w:rFonts w:ascii="Arial" w:hAnsi="Arial" w:cs="Arial"/>
        </w:rPr>
        <w:t xml:space="preserve">non-publication </w:t>
      </w:r>
      <w:r>
        <w:rPr>
          <w:rFonts w:ascii="Arial" w:hAnsi="Arial" w:cs="Arial"/>
        </w:rPr>
        <w:t>orders is under s</w:t>
      </w:r>
      <w:r w:rsidR="00545F81">
        <w:rPr>
          <w:rFonts w:ascii="Arial" w:hAnsi="Arial" w:cs="Arial"/>
        </w:rPr>
        <w:t>79 of the Act. The starting point is that hearings are to be public. This presumption may be displaced if</w:t>
      </w:r>
      <w:r w:rsidR="009737AC">
        <w:rPr>
          <w:rFonts w:ascii="Arial" w:hAnsi="Arial" w:cs="Arial"/>
        </w:rPr>
        <w:t>,</w:t>
      </w:r>
      <w:r w:rsidR="00545F81">
        <w:rPr>
          <w:rFonts w:ascii="Arial" w:hAnsi="Arial" w:cs="Arial"/>
        </w:rPr>
        <w:t xml:space="preserve"> having regard to the interest of any person (including the privacy of any complainant) and to the public interest, </w:t>
      </w:r>
      <w:r w:rsidR="0038734E">
        <w:rPr>
          <w:rFonts w:ascii="Arial" w:hAnsi="Arial" w:cs="Arial"/>
        </w:rPr>
        <w:t xml:space="preserve">and </w:t>
      </w:r>
      <w:r w:rsidR="00545F81">
        <w:rPr>
          <w:rFonts w:ascii="Arial" w:hAnsi="Arial" w:cs="Arial"/>
        </w:rPr>
        <w:t xml:space="preserve">the Tribunal is satisfied that it is desirable to </w:t>
      </w:r>
      <w:r w:rsidR="009737AC">
        <w:rPr>
          <w:rFonts w:ascii="Arial" w:hAnsi="Arial" w:cs="Arial"/>
        </w:rPr>
        <w:t xml:space="preserve">do so we </w:t>
      </w:r>
      <w:r w:rsidR="0038734E">
        <w:rPr>
          <w:rFonts w:ascii="Arial" w:hAnsi="Arial" w:cs="Arial"/>
        </w:rPr>
        <w:t xml:space="preserve">may </w:t>
      </w:r>
      <w:r w:rsidR="00545F81">
        <w:rPr>
          <w:rFonts w:ascii="Arial" w:hAnsi="Arial" w:cs="Arial"/>
        </w:rPr>
        <w:t>make orders prohibiting publication of details including names, identifying particulars and/or the evidence produced at a hearing</w:t>
      </w:r>
      <w:r w:rsidR="00A3515F" w:rsidRPr="00325559">
        <w:rPr>
          <w:rFonts w:ascii="Arial" w:hAnsi="Arial" w:cs="Arial"/>
        </w:rPr>
        <w:t>.</w:t>
      </w:r>
    </w:p>
    <w:p w14:paraId="6B637837" w14:textId="77777777" w:rsidR="00545F81" w:rsidRPr="00545F81" w:rsidRDefault="00545F81" w:rsidP="00545F81">
      <w:pPr>
        <w:pStyle w:val="ListParagraph"/>
        <w:rPr>
          <w:rFonts w:ascii="Arial" w:hAnsi="Arial" w:cs="Arial"/>
        </w:rPr>
      </w:pPr>
    </w:p>
    <w:p w14:paraId="5A00CA73" w14:textId="46F64D1A" w:rsidR="00545F81" w:rsidRPr="00325559" w:rsidRDefault="00C358E9" w:rsidP="009417F6">
      <w:pPr>
        <w:pStyle w:val="ListParagraph"/>
        <w:numPr>
          <w:ilvl w:val="0"/>
          <w:numId w:val="18"/>
        </w:numPr>
        <w:spacing w:after="240" w:line="360" w:lineRule="auto"/>
        <w:jc w:val="both"/>
        <w:rPr>
          <w:rFonts w:ascii="Arial" w:hAnsi="Arial" w:cs="Arial"/>
        </w:rPr>
      </w:pPr>
      <w:r>
        <w:rPr>
          <w:rFonts w:ascii="Arial" w:hAnsi="Arial" w:cs="Arial"/>
        </w:rPr>
        <w:t>The Act also requires us to c</w:t>
      </w:r>
      <w:r w:rsidR="00545F81">
        <w:rPr>
          <w:rFonts w:ascii="Arial" w:hAnsi="Arial" w:cs="Arial"/>
        </w:rPr>
        <w:t>onsider whether there needs to be special protection for certain witnesses</w:t>
      </w:r>
      <w:r w:rsidR="009737AC">
        <w:rPr>
          <w:rFonts w:ascii="Arial" w:hAnsi="Arial" w:cs="Arial"/>
        </w:rPr>
        <w:t>. This</w:t>
      </w:r>
      <w:r w:rsidR="00545F81">
        <w:rPr>
          <w:rFonts w:ascii="Arial" w:hAnsi="Arial" w:cs="Arial"/>
        </w:rPr>
        <w:t xml:space="preserve"> includes a witness if the evidence in the Tribunal’s opinion relates to or involves a matter that may require </w:t>
      </w:r>
      <w:r w:rsidR="0038734E">
        <w:rPr>
          <w:rFonts w:ascii="Arial" w:hAnsi="Arial" w:cs="Arial"/>
        </w:rPr>
        <w:t>them</w:t>
      </w:r>
      <w:r w:rsidR="00545F81">
        <w:rPr>
          <w:rFonts w:ascii="Arial" w:hAnsi="Arial" w:cs="Arial"/>
        </w:rPr>
        <w:t xml:space="preserve"> to give intimate or distressing evidence: s79(1)(b)(ii). As this matter proceeded on the </w:t>
      </w:r>
      <w:r w:rsidR="00EB5421">
        <w:rPr>
          <w:rFonts w:ascii="Arial" w:hAnsi="Arial" w:cs="Arial"/>
        </w:rPr>
        <w:t>basis of an</w:t>
      </w:r>
      <w:r w:rsidR="00545F81">
        <w:rPr>
          <w:rFonts w:ascii="Arial" w:hAnsi="Arial" w:cs="Arial"/>
        </w:rPr>
        <w:t xml:space="preserve"> agreed summary of facts, evidence of the </w:t>
      </w:r>
      <w:r>
        <w:rPr>
          <w:rFonts w:ascii="Arial" w:hAnsi="Arial" w:cs="Arial"/>
        </w:rPr>
        <w:t xml:space="preserve">victims </w:t>
      </w:r>
      <w:r w:rsidR="00545F81">
        <w:rPr>
          <w:rFonts w:ascii="Arial" w:hAnsi="Arial" w:cs="Arial"/>
        </w:rPr>
        <w:t>was not required to be produced. However</w:t>
      </w:r>
      <w:r>
        <w:rPr>
          <w:rFonts w:ascii="Arial" w:hAnsi="Arial" w:cs="Arial"/>
        </w:rPr>
        <w:t>,</w:t>
      </w:r>
      <w:r w:rsidR="00545F81">
        <w:rPr>
          <w:rFonts w:ascii="Arial" w:hAnsi="Arial" w:cs="Arial"/>
        </w:rPr>
        <w:t xml:space="preserve"> the </w:t>
      </w:r>
      <w:r w:rsidR="00EC3835">
        <w:rPr>
          <w:rFonts w:ascii="Arial" w:hAnsi="Arial" w:cs="Arial"/>
        </w:rPr>
        <w:t>evidence includes</w:t>
      </w:r>
      <w:r w:rsidR="00545F81">
        <w:rPr>
          <w:rFonts w:ascii="Arial" w:hAnsi="Arial" w:cs="Arial"/>
        </w:rPr>
        <w:t xml:space="preserve"> </w:t>
      </w:r>
      <w:r w:rsidR="00382171">
        <w:rPr>
          <w:rFonts w:ascii="Arial" w:hAnsi="Arial" w:cs="Arial"/>
        </w:rPr>
        <w:t xml:space="preserve">some of </w:t>
      </w:r>
      <w:r w:rsidR="00545F81">
        <w:rPr>
          <w:rFonts w:ascii="Arial" w:hAnsi="Arial" w:cs="Arial"/>
        </w:rPr>
        <w:t>the content of the respondent’s messages</w:t>
      </w:r>
      <w:r>
        <w:rPr>
          <w:rFonts w:ascii="Arial" w:hAnsi="Arial" w:cs="Arial"/>
        </w:rPr>
        <w:t xml:space="preserve"> and there is a potential for harm to those persons </w:t>
      </w:r>
      <w:r w:rsidR="0038734E">
        <w:rPr>
          <w:rFonts w:ascii="Arial" w:hAnsi="Arial" w:cs="Arial"/>
        </w:rPr>
        <w:t>if the matter is</w:t>
      </w:r>
      <w:r>
        <w:rPr>
          <w:rFonts w:ascii="Arial" w:hAnsi="Arial" w:cs="Arial"/>
        </w:rPr>
        <w:t xml:space="preserve"> published at this point.</w:t>
      </w:r>
      <w:r w:rsidR="00382171">
        <w:rPr>
          <w:rFonts w:ascii="Arial" w:hAnsi="Arial" w:cs="Arial"/>
        </w:rPr>
        <w:t xml:space="preserve"> The earlier publicity regarding the first </w:t>
      </w:r>
      <w:r w:rsidR="00EC3835">
        <w:rPr>
          <w:rFonts w:ascii="Arial" w:hAnsi="Arial" w:cs="Arial"/>
        </w:rPr>
        <w:t xml:space="preserve">Tribunal </w:t>
      </w:r>
      <w:r w:rsidR="0038734E">
        <w:rPr>
          <w:rFonts w:ascii="Arial" w:hAnsi="Arial" w:cs="Arial"/>
        </w:rPr>
        <w:t xml:space="preserve">proceedings </w:t>
      </w:r>
      <w:r w:rsidR="00382171">
        <w:rPr>
          <w:rFonts w:ascii="Arial" w:hAnsi="Arial" w:cs="Arial"/>
        </w:rPr>
        <w:t>included detailed references to the messages and the circumstances in which they were sent. Out of caution (as they are not named in documents before the Tribunal) we will make an order that the names of the victims not be published.</w:t>
      </w:r>
    </w:p>
    <w:p w14:paraId="27B8BEF6" w14:textId="77777777" w:rsidR="00D3704C" w:rsidRPr="00325559" w:rsidRDefault="00D3704C" w:rsidP="00D3704C">
      <w:pPr>
        <w:pStyle w:val="ListParagraph"/>
        <w:spacing w:after="240" w:line="360" w:lineRule="auto"/>
        <w:jc w:val="both"/>
        <w:rPr>
          <w:rFonts w:ascii="Arial" w:hAnsi="Arial" w:cs="Arial"/>
        </w:rPr>
      </w:pPr>
    </w:p>
    <w:p w14:paraId="256951B6" w14:textId="02220D48" w:rsidR="00D3704C" w:rsidRDefault="00C358E9" w:rsidP="009417F6">
      <w:pPr>
        <w:pStyle w:val="ListParagraph"/>
        <w:numPr>
          <w:ilvl w:val="0"/>
          <w:numId w:val="18"/>
        </w:numPr>
        <w:spacing w:after="240" w:line="360" w:lineRule="auto"/>
        <w:jc w:val="both"/>
        <w:rPr>
          <w:rFonts w:ascii="Arial" w:hAnsi="Arial" w:cs="Arial"/>
        </w:rPr>
      </w:pPr>
      <w:r>
        <w:rPr>
          <w:rFonts w:ascii="Arial" w:hAnsi="Arial" w:cs="Arial"/>
        </w:rPr>
        <w:t>The grounds for the respondent’s application were submitted by counsel as follows:</w:t>
      </w:r>
    </w:p>
    <w:p w14:paraId="2D871329" w14:textId="77777777" w:rsidR="00C358E9" w:rsidRPr="00C358E9" w:rsidRDefault="00C358E9" w:rsidP="00C358E9">
      <w:pPr>
        <w:pStyle w:val="ListParagraph"/>
        <w:rPr>
          <w:rFonts w:ascii="Arial" w:hAnsi="Arial" w:cs="Arial"/>
        </w:rPr>
      </w:pPr>
    </w:p>
    <w:p w14:paraId="7B0FF06A" w14:textId="76C7668D" w:rsidR="00C358E9" w:rsidRPr="00382171" w:rsidRDefault="00C358E9" w:rsidP="00C358E9">
      <w:pPr>
        <w:pStyle w:val="ListParagraph"/>
        <w:spacing w:after="240" w:line="360" w:lineRule="auto"/>
        <w:ind w:left="1440"/>
        <w:jc w:val="both"/>
        <w:rPr>
          <w:rFonts w:ascii="Arial" w:hAnsi="Arial" w:cs="Arial"/>
          <w:sz w:val="20"/>
          <w:szCs w:val="20"/>
        </w:rPr>
      </w:pPr>
      <w:r w:rsidRPr="00382171">
        <w:rPr>
          <w:rFonts w:ascii="Arial" w:hAnsi="Arial" w:cs="Arial"/>
          <w:sz w:val="20"/>
          <w:szCs w:val="20"/>
        </w:rPr>
        <w:t>The respondent seeks suppression of her name for the reasons set out in the affidavit filed with this memorandum. The earlier proceedings and subsequent media attention have taken a significant toll on her mental health and further publication is likely to cause more harm.</w:t>
      </w:r>
    </w:p>
    <w:p w14:paraId="1AFCAFD5" w14:textId="77777777" w:rsidR="00C358E9" w:rsidRPr="00C358E9" w:rsidRDefault="00C358E9" w:rsidP="00C358E9">
      <w:pPr>
        <w:pStyle w:val="ListParagraph"/>
        <w:rPr>
          <w:rFonts w:ascii="Arial" w:hAnsi="Arial" w:cs="Arial"/>
        </w:rPr>
      </w:pPr>
    </w:p>
    <w:p w14:paraId="0E4847AD" w14:textId="6CDCEE9B" w:rsidR="0088553A" w:rsidRDefault="00E4007B" w:rsidP="009417F6">
      <w:pPr>
        <w:pStyle w:val="ListParagraph"/>
        <w:numPr>
          <w:ilvl w:val="0"/>
          <w:numId w:val="18"/>
        </w:numPr>
        <w:spacing w:after="240" w:line="360" w:lineRule="auto"/>
        <w:jc w:val="both"/>
        <w:rPr>
          <w:rFonts w:ascii="Arial" w:hAnsi="Arial" w:cs="Arial"/>
        </w:rPr>
      </w:pPr>
      <w:r>
        <w:rPr>
          <w:rFonts w:ascii="Arial" w:hAnsi="Arial" w:cs="Arial"/>
        </w:rPr>
        <w:t>In oral submissions, c</w:t>
      </w:r>
      <w:r w:rsidR="0088553A">
        <w:rPr>
          <w:rFonts w:ascii="Arial" w:hAnsi="Arial" w:cs="Arial"/>
        </w:rPr>
        <w:t>ounsel submitted that a comprehensive psychiatric assessment for the purposes of supporting the application was beyond the res</w:t>
      </w:r>
      <w:r>
        <w:rPr>
          <w:rFonts w:ascii="Arial" w:hAnsi="Arial" w:cs="Arial"/>
        </w:rPr>
        <w:t>p</w:t>
      </w:r>
      <w:r w:rsidR="0088553A">
        <w:rPr>
          <w:rFonts w:ascii="Arial" w:hAnsi="Arial" w:cs="Arial"/>
        </w:rPr>
        <w:t>ondent’s means.</w:t>
      </w:r>
      <w:r>
        <w:rPr>
          <w:rFonts w:ascii="Arial" w:hAnsi="Arial" w:cs="Arial"/>
        </w:rPr>
        <w:t xml:space="preserve"> He also observed that had </w:t>
      </w:r>
      <w:r w:rsidR="0038734E">
        <w:rPr>
          <w:rFonts w:ascii="Arial" w:hAnsi="Arial" w:cs="Arial"/>
        </w:rPr>
        <w:t xml:space="preserve">this </w:t>
      </w:r>
      <w:r>
        <w:rPr>
          <w:rFonts w:ascii="Arial" w:hAnsi="Arial" w:cs="Arial"/>
        </w:rPr>
        <w:t xml:space="preserve">matter been dealt with together with the first charge, the respondent would have avoided the prospect of further publicity; and that this is not a case in which there is the potential for publicity to bring forward </w:t>
      </w:r>
      <w:r w:rsidR="0038734E">
        <w:rPr>
          <w:rFonts w:ascii="Arial" w:hAnsi="Arial" w:cs="Arial"/>
        </w:rPr>
        <w:t>other complainants.</w:t>
      </w:r>
    </w:p>
    <w:p w14:paraId="20843B6A" w14:textId="77777777" w:rsidR="00E4007B" w:rsidRDefault="00E4007B" w:rsidP="00E4007B">
      <w:pPr>
        <w:pStyle w:val="ListParagraph"/>
        <w:spacing w:after="240" w:line="360" w:lineRule="auto"/>
        <w:jc w:val="both"/>
        <w:rPr>
          <w:rFonts w:ascii="Arial" w:hAnsi="Arial" w:cs="Arial"/>
        </w:rPr>
      </w:pPr>
    </w:p>
    <w:p w14:paraId="2366A6ED" w14:textId="5AD4714B" w:rsidR="00E4007B" w:rsidRDefault="00E4007B" w:rsidP="009417F6">
      <w:pPr>
        <w:pStyle w:val="ListParagraph"/>
        <w:numPr>
          <w:ilvl w:val="0"/>
          <w:numId w:val="18"/>
        </w:numPr>
        <w:spacing w:after="240" w:line="360" w:lineRule="auto"/>
        <w:jc w:val="both"/>
        <w:rPr>
          <w:rFonts w:ascii="Arial" w:hAnsi="Arial" w:cs="Arial"/>
        </w:rPr>
      </w:pPr>
      <w:r>
        <w:rPr>
          <w:rFonts w:ascii="Arial" w:hAnsi="Arial" w:cs="Arial"/>
        </w:rPr>
        <w:t xml:space="preserve">Counsel advised that the respondent </w:t>
      </w:r>
      <w:r w:rsidR="00EC3835">
        <w:rPr>
          <w:rFonts w:ascii="Arial" w:hAnsi="Arial" w:cs="Arial"/>
        </w:rPr>
        <w:t>sought</w:t>
      </w:r>
      <w:r>
        <w:rPr>
          <w:rFonts w:ascii="Arial" w:hAnsi="Arial" w:cs="Arial"/>
        </w:rPr>
        <w:t xml:space="preserve"> permanent name suppression in the criminal proceedings and that this was unsuccessful but notwithstanding this, no further publicity followed the original articles.</w:t>
      </w:r>
    </w:p>
    <w:p w14:paraId="4B22CE19" w14:textId="77777777" w:rsidR="00E4007B" w:rsidRDefault="00E4007B" w:rsidP="00E4007B">
      <w:pPr>
        <w:pStyle w:val="ListParagraph"/>
        <w:spacing w:after="240" w:line="360" w:lineRule="auto"/>
        <w:jc w:val="both"/>
        <w:rPr>
          <w:rFonts w:ascii="Arial" w:hAnsi="Arial" w:cs="Arial"/>
        </w:rPr>
      </w:pPr>
    </w:p>
    <w:p w14:paraId="59F7BF11" w14:textId="5A9BCD65" w:rsidR="00826D9A" w:rsidRDefault="00826D9A" w:rsidP="009417F6">
      <w:pPr>
        <w:pStyle w:val="ListParagraph"/>
        <w:numPr>
          <w:ilvl w:val="0"/>
          <w:numId w:val="18"/>
        </w:numPr>
        <w:spacing w:after="240" w:line="360" w:lineRule="auto"/>
        <w:jc w:val="both"/>
        <w:rPr>
          <w:rFonts w:ascii="Arial" w:hAnsi="Arial" w:cs="Arial"/>
        </w:rPr>
      </w:pPr>
      <w:r>
        <w:rPr>
          <w:rFonts w:ascii="Arial" w:hAnsi="Arial" w:cs="Arial"/>
        </w:rPr>
        <w:t xml:space="preserve">The respondent’s affidavit annexes two media articles </w:t>
      </w:r>
      <w:r w:rsidR="00EC3835">
        <w:rPr>
          <w:rFonts w:ascii="Arial" w:hAnsi="Arial" w:cs="Arial"/>
        </w:rPr>
        <w:t xml:space="preserve">dated </w:t>
      </w:r>
      <w:r w:rsidR="002377C6">
        <w:rPr>
          <w:rFonts w:ascii="Arial" w:hAnsi="Arial" w:cs="Arial"/>
        </w:rPr>
        <w:t>[date]</w:t>
      </w:r>
      <w:r w:rsidR="00EC3835">
        <w:rPr>
          <w:rFonts w:ascii="Arial" w:hAnsi="Arial" w:cs="Arial"/>
        </w:rPr>
        <w:t xml:space="preserve"> </w:t>
      </w:r>
      <w:r>
        <w:rPr>
          <w:rFonts w:ascii="Arial" w:hAnsi="Arial" w:cs="Arial"/>
        </w:rPr>
        <w:t xml:space="preserve">published about the </w:t>
      </w:r>
      <w:r w:rsidR="00E322CA">
        <w:rPr>
          <w:rFonts w:ascii="Arial" w:hAnsi="Arial" w:cs="Arial"/>
        </w:rPr>
        <w:t>T</w:t>
      </w:r>
      <w:r>
        <w:rPr>
          <w:rFonts w:ascii="Arial" w:hAnsi="Arial" w:cs="Arial"/>
        </w:rPr>
        <w:t xml:space="preserve">ribunal’s findings and accompanied by a photograph of </w:t>
      </w:r>
      <w:r w:rsidR="00EC3835">
        <w:rPr>
          <w:rFonts w:ascii="Arial" w:hAnsi="Arial" w:cs="Arial"/>
        </w:rPr>
        <w:t xml:space="preserve">the </w:t>
      </w:r>
      <w:r>
        <w:rPr>
          <w:rFonts w:ascii="Arial" w:hAnsi="Arial" w:cs="Arial"/>
        </w:rPr>
        <w:t>r</w:t>
      </w:r>
      <w:r w:rsidR="00EC3835">
        <w:rPr>
          <w:rFonts w:ascii="Arial" w:hAnsi="Arial" w:cs="Arial"/>
        </w:rPr>
        <w:t>espondent</w:t>
      </w:r>
      <w:r>
        <w:rPr>
          <w:rFonts w:ascii="Arial" w:hAnsi="Arial" w:cs="Arial"/>
        </w:rPr>
        <w:t>. The respondent states:</w:t>
      </w:r>
    </w:p>
    <w:p w14:paraId="58C5F533" w14:textId="77777777" w:rsidR="00382171" w:rsidRDefault="00382171" w:rsidP="00382171">
      <w:pPr>
        <w:pStyle w:val="ListParagraph"/>
        <w:spacing w:after="240" w:line="360" w:lineRule="auto"/>
        <w:jc w:val="both"/>
        <w:rPr>
          <w:rFonts w:ascii="Arial" w:hAnsi="Arial" w:cs="Arial"/>
        </w:rPr>
      </w:pPr>
    </w:p>
    <w:p w14:paraId="116A2AF2" w14:textId="66336F6E" w:rsidR="00826D9A" w:rsidRPr="00382171" w:rsidRDefault="00826D9A" w:rsidP="00826D9A">
      <w:pPr>
        <w:pStyle w:val="ListParagraph"/>
        <w:spacing w:after="240" w:line="360" w:lineRule="auto"/>
        <w:ind w:left="1440"/>
        <w:jc w:val="both"/>
        <w:rPr>
          <w:rFonts w:ascii="Arial" w:hAnsi="Arial" w:cs="Arial"/>
          <w:sz w:val="20"/>
          <w:szCs w:val="20"/>
        </w:rPr>
      </w:pPr>
      <w:r w:rsidRPr="00382171">
        <w:rPr>
          <w:rFonts w:ascii="Arial" w:hAnsi="Arial" w:cs="Arial"/>
          <w:sz w:val="20"/>
          <w:szCs w:val="20"/>
        </w:rPr>
        <w:t>[11] The publication of these articles took a huge toll on my mental health. My family and I are very close, and it was very stressful for them. Their anguish exacerbated the stress and shame that I felt and ultimately, put a huge strain on our relationship.</w:t>
      </w:r>
    </w:p>
    <w:p w14:paraId="5A8C9233" w14:textId="77777777" w:rsidR="00826D9A" w:rsidRDefault="00826D9A" w:rsidP="00826D9A">
      <w:pPr>
        <w:pStyle w:val="ListParagraph"/>
        <w:spacing w:after="240" w:line="360" w:lineRule="auto"/>
        <w:ind w:left="1440"/>
        <w:jc w:val="both"/>
        <w:rPr>
          <w:rFonts w:ascii="Arial" w:hAnsi="Arial" w:cs="Arial"/>
        </w:rPr>
      </w:pPr>
    </w:p>
    <w:p w14:paraId="63E04F31" w14:textId="4E893392" w:rsidR="00B531BB" w:rsidRDefault="00B531BB" w:rsidP="009417F6">
      <w:pPr>
        <w:pStyle w:val="ListParagraph"/>
        <w:numPr>
          <w:ilvl w:val="0"/>
          <w:numId w:val="18"/>
        </w:numPr>
        <w:spacing w:after="240" w:line="360" w:lineRule="auto"/>
        <w:jc w:val="both"/>
        <w:rPr>
          <w:rFonts w:ascii="Arial" w:hAnsi="Arial" w:cs="Arial"/>
        </w:rPr>
      </w:pPr>
      <w:r>
        <w:rPr>
          <w:rFonts w:ascii="Arial" w:hAnsi="Arial" w:cs="Arial"/>
        </w:rPr>
        <w:t>The respondent goes on to refer to embarrassment caused to her brother</w:t>
      </w:r>
      <w:r w:rsidR="002A5B32">
        <w:rPr>
          <w:rFonts w:ascii="Arial" w:hAnsi="Arial" w:cs="Arial"/>
        </w:rPr>
        <w:t>,</w:t>
      </w:r>
      <w:r>
        <w:rPr>
          <w:rFonts w:ascii="Arial" w:hAnsi="Arial" w:cs="Arial"/>
        </w:rPr>
        <w:t xml:space="preserve"> and his disappointment in her, and </w:t>
      </w:r>
      <w:r w:rsidR="002A5B32">
        <w:rPr>
          <w:rFonts w:ascii="Arial" w:hAnsi="Arial" w:cs="Arial"/>
        </w:rPr>
        <w:t xml:space="preserve">to </w:t>
      </w:r>
      <w:r>
        <w:rPr>
          <w:rFonts w:ascii="Arial" w:hAnsi="Arial" w:cs="Arial"/>
        </w:rPr>
        <w:t xml:space="preserve">guilt </w:t>
      </w:r>
      <w:r w:rsidR="00382171">
        <w:rPr>
          <w:rFonts w:ascii="Arial" w:hAnsi="Arial" w:cs="Arial"/>
        </w:rPr>
        <w:t>relating to her mother</w:t>
      </w:r>
      <w:r>
        <w:rPr>
          <w:rFonts w:ascii="Arial" w:hAnsi="Arial" w:cs="Arial"/>
        </w:rPr>
        <w:t xml:space="preserve"> suffer</w:t>
      </w:r>
      <w:r w:rsidR="00382171">
        <w:rPr>
          <w:rFonts w:ascii="Arial" w:hAnsi="Arial" w:cs="Arial"/>
        </w:rPr>
        <w:t>ing</w:t>
      </w:r>
      <w:r>
        <w:rPr>
          <w:rFonts w:ascii="Arial" w:hAnsi="Arial" w:cs="Arial"/>
        </w:rPr>
        <w:t xml:space="preserve"> a heart attack shortly after the publicity. The respondent </w:t>
      </w:r>
      <w:r w:rsidR="00382171">
        <w:rPr>
          <w:rFonts w:ascii="Arial" w:hAnsi="Arial" w:cs="Arial"/>
        </w:rPr>
        <w:t>states</w:t>
      </w:r>
      <w:r>
        <w:rPr>
          <w:rFonts w:ascii="Arial" w:hAnsi="Arial" w:cs="Arial"/>
        </w:rPr>
        <w:t xml:space="preserve"> that while her parents were very supportive, the publicity also caused embarrassment to them socially. She </w:t>
      </w:r>
      <w:r w:rsidR="00382171">
        <w:rPr>
          <w:rFonts w:ascii="Arial" w:hAnsi="Arial" w:cs="Arial"/>
        </w:rPr>
        <w:t>states that she</w:t>
      </w:r>
      <w:r>
        <w:rPr>
          <w:rFonts w:ascii="Arial" w:hAnsi="Arial" w:cs="Arial"/>
        </w:rPr>
        <w:t xml:space="preserve"> withdrew </w:t>
      </w:r>
      <w:r w:rsidR="00382171">
        <w:rPr>
          <w:rFonts w:ascii="Arial" w:hAnsi="Arial" w:cs="Arial"/>
        </w:rPr>
        <w:t>from relationships</w:t>
      </w:r>
      <w:r>
        <w:rPr>
          <w:rFonts w:ascii="Arial" w:hAnsi="Arial" w:cs="Arial"/>
        </w:rPr>
        <w:t xml:space="preserve"> and was concerned at how others viewed her when she returned to work (in different employment). The respondent describes the publicity as leading to “</w:t>
      </w:r>
      <w:r w:rsidRPr="00B531BB">
        <w:rPr>
          <w:rFonts w:ascii="Arial" w:hAnsi="Arial" w:cs="Arial"/>
          <w:i/>
          <w:iCs/>
        </w:rPr>
        <w:t>probably one of the worst times in my life</w:t>
      </w:r>
      <w:r>
        <w:rPr>
          <w:rFonts w:ascii="Arial" w:hAnsi="Arial" w:cs="Arial"/>
        </w:rPr>
        <w:t xml:space="preserve">” </w:t>
      </w:r>
      <w:r w:rsidR="00382171">
        <w:rPr>
          <w:rFonts w:ascii="Arial" w:hAnsi="Arial" w:cs="Arial"/>
        </w:rPr>
        <w:t xml:space="preserve">and that she </w:t>
      </w:r>
      <w:r>
        <w:rPr>
          <w:rFonts w:ascii="Arial" w:hAnsi="Arial" w:cs="Arial"/>
        </w:rPr>
        <w:t xml:space="preserve">sought medical help and was prescribed antidepressant and sleep medication, </w:t>
      </w:r>
      <w:r w:rsidR="00382171">
        <w:rPr>
          <w:rFonts w:ascii="Arial" w:hAnsi="Arial" w:cs="Arial"/>
        </w:rPr>
        <w:t>which</w:t>
      </w:r>
      <w:r>
        <w:rPr>
          <w:rFonts w:ascii="Arial" w:hAnsi="Arial" w:cs="Arial"/>
        </w:rPr>
        <w:t xml:space="preserve"> she </w:t>
      </w:r>
      <w:r w:rsidR="00382171">
        <w:rPr>
          <w:rFonts w:ascii="Arial" w:hAnsi="Arial" w:cs="Arial"/>
        </w:rPr>
        <w:t>continues to take</w:t>
      </w:r>
      <w:r>
        <w:rPr>
          <w:rFonts w:ascii="Arial" w:hAnsi="Arial" w:cs="Arial"/>
        </w:rPr>
        <w:t>.</w:t>
      </w:r>
    </w:p>
    <w:p w14:paraId="36BB0D19" w14:textId="77777777" w:rsidR="00B531BB" w:rsidRDefault="00B531BB" w:rsidP="00B531BB">
      <w:pPr>
        <w:pStyle w:val="ListParagraph"/>
        <w:spacing w:after="240" w:line="360" w:lineRule="auto"/>
        <w:jc w:val="both"/>
        <w:rPr>
          <w:rFonts w:ascii="Arial" w:hAnsi="Arial" w:cs="Arial"/>
        </w:rPr>
      </w:pPr>
    </w:p>
    <w:p w14:paraId="4A6B8C93" w14:textId="6DB1D813" w:rsidR="00C358E9" w:rsidRDefault="00C06AFB" w:rsidP="009417F6">
      <w:pPr>
        <w:pStyle w:val="ListParagraph"/>
        <w:numPr>
          <w:ilvl w:val="0"/>
          <w:numId w:val="18"/>
        </w:numPr>
        <w:spacing w:after="240" w:line="360" w:lineRule="auto"/>
        <w:jc w:val="both"/>
        <w:rPr>
          <w:rFonts w:ascii="Arial" w:hAnsi="Arial" w:cs="Arial"/>
        </w:rPr>
      </w:pPr>
      <w:r>
        <w:rPr>
          <w:rFonts w:ascii="Arial" w:hAnsi="Arial" w:cs="Arial"/>
        </w:rPr>
        <w:t xml:space="preserve">The </w:t>
      </w:r>
      <w:r w:rsidR="00382171">
        <w:rPr>
          <w:rFonts w:ascii="Arial" w:hAnsi="Arial" w:cs="Arial"/>
        </w:rPr>
        <w:t xml:space="preserve">respondent states that </w:t>
      </w:r>
      <w:r w:rsidR="00826D9A">
        <w:rPr>
          <w:rFonts w:ascii="Arial" w:hAnsi="Arial" w:cs="Arial"/>
        </w:rPr>
        <w:t xml:space="preserve">it took </w:t>
      </w:r>
      <w:r w:rsidR="00382171">
        <w:rPr>
          <w:rFonts w:ascii="Arial" w:hAnsi="Arial" w:cs="Arial"/>
        </w:rPr>
        <w:t>her</w:t>
      </w:r>
      <w:r w:rsidR="00826D9A">
        <w:rPr>
          <w:rFonts w:ascii="Arial" w:hAnsi="Arial" w:cs="Arial"/>
        </w:rPr>
        <w:t xml:space="preserve"> “</w:t>
      </w:r>
      <w:r w:rsidR="00826D9A" w:rsidRPr="00C06AFB">
        <w:rPr>
          <w:rFonts w:ascii="Arial" w:hAnsi="Arial" w:cs="Arial"/>
          <w:i/>
          <w:iCs/>
        </w:rPr>
        <w:t>a long time</w:t>
      </w:r>
      <w:r w:rsidR="00382171">
        <w:rPr>
          <w:rFonts w:ascii="Arial" w:hAnsi="Arial" w:cs="Arial"/>
          <w:i/>
          <w:iCs/>
        </w:rPr>
        <w:t>”</w:t>
      </w:r>
      <w:r w:rsidR="00826D9A" w:rsidRPr="00C06AFB">
        <w:rPr>
          <w:rFonts w:ascii="Arial" w:hAnsi="Arial" w:cs="Arial"/>
          <w:i/>
          <w:iCs/>
        </w:rPr>
        <w:t xml:space="preserve"> </w:t>
      </w:r>
      <w:r w:rsidR="00826D9A" w:rsidRPr="00382171">
        <w:rPr>
          <w:rFonts w:ascii="Arial" w:hAnsi="Arial" w:cs="Arial"/>
        </w:rPr>
        <w:t xml:space="preserve">to get over the publication of the </w:t>
      </w:r>
      <w:r w:rsidR="00AD73C3">
        <w:rPr>
          <w:rFonts w:ascii="Arial" w:hAnsi="Arial" w:cs="Arial"/>
        </w:rPr>
        <w:t>T</w:t>
      </w:r>
      <w:r w:rsidR="00826D9A" w:rsidRPr="00382171">
        <w:rPr>
          <w:rFonts w:ascii="Arial" w:hAnsi="Arial" w:cs="Arial"/>
        </w:rPr>
        <w:t>ribunal</w:t>
      </w:r>
      <w:r w:rsidR="00382171">
        <w:rPr>
          <w:rFonts w:ascii="Arial" w:hAnsi="Arial" w:cs="Arial"/>
        </w:rPr>
        <w:t>’</w:t>
      </w:r>
      <w:r w:rsidR="00826D9A" w:rsidRPr="00382171">
        <w:rPr>
          <w:rFonts w:ascii="Arial" w:hAnsi="Arial" w:cs="Arial"/>
        </w:rPr>
        <w:t>s decision</w:t>
      </w:r>
      <w:r w:rsidR="00382171">
        <w:rPr>
          <w:rFonts w:ascii="Arial" w:hAnsi="Arial" w:cs="Arial"/>
        </w:rPr>
        <w:t xml:space="preserve"> </w:t>
      </w:r>
      <w:r w:rsidR="00826D9A">
        <w:rPr>
          <w:rFonts w:ascii="Arial" w:hAnsi="Arial" w:cs="Arial"/>
        </w:rPr>
        <w:t>and she refers to slowly rebuilding relationships with family members</w:t>
      </w:r>
      <w:r w:rsidR="00EF17E4">
        <w:rPr>
          <w:rFonts w:ascii="Arial" w:hAnsi="Arial" w:cs="Arial"/>
        </w:rPr>
        <w:t>. The respondent states that she is:</w:t>
      </w:r>
    </w:p>
    <w:p w14:paraId="36B4B986" w14:textId="77777777" w:rsidR="00EF17E4" w:rsidRPr="00EF17E4" w:rsidRDefault="00EF17E4" w:rsidP="00EF17E4">
      <w:pPr>
        <w:pStyle w:val="ListParagraph"/>
        <w:rPr>
          <w:rFonts w:ascii="Arial" w:hAnsi="Arial" w:cs="Arial"/>
        </w:rPr>
      </w:pPr>
    </w:p>
    <w:p w14:paraId="3256602F" w14:textId="7044A4C2" w:rsidR="00EF17E4" w:rsidRPr="00EF17E4" w:rsidRDefault="00EF17E4" w:rsidP="00EF17E4">
      <w:pPr>
        <w:pStyle w:val="ListParagraph"/>
        <w:spacing w:after="240" w:line="360" w:lineRule="auto"/>
        <w:ind w:left="1440"/>
        <w:jc w:val="both"/>
        <w:rPr>
          <w:rFonts w:ascii="Arial" w:hAnsi="Arial" w:cs="Arial"/>
          <w:sz w:val="20"/>
          <w:szCs w:val="20"/>
        </w:rPr>
      </w:pPr>
      <w:r w:rsidRPr="00EF17E4">
        <w:rPr>
          <w:rFonts w:ascii="Arial" w:hAnsi="Arial" w:cs="Arial"/>
          <w:sz w:val="20"/>
          <w:szCs w:val="20"/>
        </w:rPr>
        <w:t>[24] …extremely worried about the impact that further media reporting will have on my ability to locate suitable employment after I finish my studies.</w:t>
      </w:r>
    </w:p>
    <w:p w14:paraId="66CC5644" w14:textId="77777777" w:rsidR="00EF17E4" w:rsidRPr="00EF17E4" w:rsidRDefault="00EF17E4" w:rsidP="00EF17E4">
      <w:pPr>
        <w:pStyle w:val="ListParagraph"/>
        <w:spacing w:after="240" w:line="360" w:lineRule="auto"/>
        <w:ind w:left="1440"/>
        <w:jc w:val="both"/>
        <w:rPr>
          <w:rFonts w:ascii="Arial" w:hAnsi="Arial" w:cs="Arial"/>
          <w:sz w:val="20"/>
          <w:szCs w:val="20"/>
        </w:rPr>
      </w:pPr>
    </w:p>
    <w:p w14:paraId="6A78F953" w14:textId="4E857130" w:rsidR="00EF17E4" w:rsidRPr="00EF17E4" w:rsidRDefault="00EF17E4" w:rsidP="00EF17E4">
      <w:pPr>
        <w:pStyle w:val="ListParagraph"/>
        <w:spacing w:after="240" w:line="360" w:lineRule="auto"/>
        <w:ind w:left="1440"/>
        <w:jc w:val="both"/>
        <w:rPr>
          <w:rFonts w:ascii="Arial" w:hAnsi="Arial" w:cs="Arial"/>
          <w:sz w:val="20"/>
          <w:szCs w:val="20"/>
        </w:rPr>
      </w:pPr>
      <w:r w:rsidRPr="00EF17E4">
        <w:rPr>
          <w:rFonts w:ascii="Arial" w:hAnsi="Arial" w:cs="Arial"/>
          <w:sz w:val="20"/>
          <w:szCs w:val="20"/>
        </w:rPr>
        <w:t>[25] I have made a difficult decision to retrain and have dedicated significant time and effort to achieve that. It would be completely devastating to me if all that were in vain.  I am worried that further media reporting will compromise my ability to obtain employment in that field.</w:t>
      </w:r>
    </w:p>
    <w:p w14:paraId="26D49282" w14:textId="77777777" w:rsidR="00EF17E4" w:rsidRPr="00EF17E4" w:rsidRDefault="00EF17E4" w:rsidP="00EF17E4">
      <w:pPr>
        <w:pStyle w:val="ListParagraph"/>
        <w:rPr>
          <w:rFonts w:ascii="Arial" w:hAnsi="Arial" w:cs="Arial"/>
        </w:rPr>
      </w:pPr>
    </w:p>
    <w:p w14:paraId="720956B9" w14:textId="5EBDB7C7" w:rsidR="00C6422B" w:rsidRDefault="00C6422B" w:rsidP="009417F6">
      <w:pPr>
        <w:pStyle w:val="ListParagraph"/>
        <w:numPr>
          <w:ilvl w:val="0"/>
          <w:numId w:val="18"/>
        </w:numPr>
        <w:spacing w:after="240" w:line="360" w:lineRule="auto"/>
        <w:jc w:val="both"/>
        <w:rPr>
          <w:rFonts w:ascii="Arial" w:hAnsi="Arial" w:cs="Arial"/>
        </w:rPr>
      </w:pPr>
      <w:r>
        <w:rPr>
          <w:rFonts w:ascii="Arial" w:hAnsi="Arial" w:cs="Arial"/>
        </w:rPr>
        <w:t xml:space="preserve">The PCC </w:t>
      </w:r>
      <w:r w:rsidR="004D2089">
        <w:rPr>
          <w:rFonts w:ascii="Arial" w:hAnsi="Arial" w:cs="Arial"/>
        </w:rPr>
        <w:t>accepted that the respondent has suffered from the earlier publication, and that f</w:t>
      </w:r>
      <w:r w:rsidR="00AD73C3">
        <w:rPr>
          <w:rFonts w:ascii="Arial" w:hAnsi="Arial" w:cs="Arial"/>
        </w:rPr>
        <w:t>resh</w:t>
      </w:r>
      <w:r w:rsidR="004D2089">
        <w:rPr>
          <w:rFonts w:ascii="Arial" w:hAnsi="Arial" w:cs="Arial"/>
        </w:rPr>
        <w:t xml:space="preserve"> publicity may impact her further. The PCC however </w:t>
      </w:r>
      <w:r>
        <w:rPr>
          <w:rFonts w:ascii="Arial" w:hAnsi="Arial" w:cs="Arial"/>
        </w:rPr>
        <w:t>oppose a permanent order.  It was submitted that the grounds relied on by the respondent are “</w:t>
      </w:r>
      <w:r w:rsidRPr="004D2089">
        <w:rPr>
          <w:rFonts w:ascii="Arial" w:hAnsi="Arial" w:cs="Arial"/>
          <w:i/>
          <w:iCs/>
        </w:rPr>
        <w:t>entirely consistent with those demonstrated by others who have applied for suppression previously in this Tribunal, and been declined</w:t>
      </w:r>
      <w:r>
        <w:rPr>
          <w:rFonts w:ascii="Arial" w:hAnsi="Arial" w:cs="Arial"/>
        </w:rPr>
        <w:t>.”</w:t>
      </w:r>
      <w:r w:rsidR="00232194">
        <w:rPr>
          <w:rFonts w:ascii="Arial" w:hAnsi="Arial" w:cs="Arial"/>
        </w:rPr>
        <w:t xml:space="preserve"> Counsel referred to </w:t>
      </w:r>
      <w:r w:rsidR="00232194" w:rsidRPr="00A53C98">
        <w:rPr>
          <w:rFonts w:ascii="Arial" w:hAnsi="Arial" w:cs="Arial"/>
          <w:i/>
          <w:iCs/>
        </w:rPr>
        <w:t>PCC v Luisi</w:t>
      </w:r>
      <w:r w:rsidR="00232194">
        <w:rPr>
          <w:rStyle w:val="FootnoteReference"/>
          <w:rFonts w:ascii="Arial" w:hAnsi="Arial" w:cs="Arial"/>
        </w:rPr>
        <w:footnoteReference w:id="15"/>
      </w:r>
      <w:r w:rsidR="00232194">
        <w:rPr>
          <w:rFonts w:ascii="Arial" w:hAnsi="Arial" w:cs="Arial"/>
        </w:rPr>
        <w:t>, and to three decisions of the HPDT</w:t>
      </w:r>
      <w:r w:rsidR="00B36B5A">
        <w:rPr>
          <w:rStyle w:val="FootnoteReference"/>
          <w:rFonts w:ascii="Arial" w:hAnsi="Arial" w:cs="Arial"/>
        </w:rPr>
        <w:footnoteReference w:id="16"/>
      </w:r>
      <w:r w:rsidR="00232194">
        <w:rPr>
          <w:rFonts w:ascii="Arial" w:hAnsi="Arial" w:cs="Arial"/>
        </w:rPr>
        <w:t xml:space="preserve"> by way of example of the threshold that should be met before an order is made.</w:t>
      </w:r>
      <w:r w:rsidR="004D2089">
        <w:rPr>
          <w:rFonts w:ascii="Arial" w:hAnsi="Arial" w:cs="Arial"/>
        </w:rPr>
        <w:t xml:space="preserve"> Counsel for the PCC also submitted that given the use of a false name by the respondent to send some of the offending Facebook messages there is the potential that other victims may be encouraged to come forward following publication.</w:t>
      </w:r>
    </w:p>
    <w:p w14:paraId="5714AEE8" w14:textId="77777777" w:rsidR="00C6422B" w:rsidRDefault="00C6422B" w:rsidP="00C6422B">
      <w:pPr>
        <w:pStyle w:val="ListParagraph"/>
        <w:spacing w:after="240" w:line="360" w:lineRule="auto"/>
        <w:jc w:val="both"/>
        <w:rPr>
          <w:rFonts w:ascii="Arial" w:hAnsi="Arial" w:cs="Arial"/>
        </w:rPr>
      </w:pPr>
    </w:p>
    <w:p w14:paraId="344F7ECA" w14:textId="58B5FF41" w:rsidR="00A53C98" w:rsidRDefault="0088553A" w:rsidP="009417F6">
      <w:pPr>
        <w:pStyle w:val="ListParagraph"/>
        <w:numPr>
          <w:ilvl w:val="0"/>
          <w:numId w:val="18"/>
        </w:numPr>
        <w:spacing w:after="240" w:line="360" w:lineRule="auto"/>
        <w:jc w:val="both"/>
        <w:rPr>
          <w:rFonts w:ascii="Arial" w:hAnsi="Arial" w:cs="Arial"/>
        </w:rPr>
      </w:pPr>
      <w:r>
        <w:rPr>
          <w:rFonts w:ascii="Arial" w:hAnsi="Arial" w:cs="Arial"/>
        </w:rPr>
        <w:t xml:space="preserve">Whether it is desirable to make an order will always be determined on a </w:t>
      </w:r>
      <w:r w:rsidR="00AD428E">
        <w:rPr>
          <w:rFonts w:ascii="Arial" w:hAnsi="Arial" w:cs="Arial"/>
        </w:rPr>
        <w:t>case-by-case</w:t>
      </w:r>
      <w:r>
        <w:rPr>
          <w:rFonts w:ascii="Arial" w:hAnsi="Arial" w:cs="Arial"/>
        </w:rPr>
        <w:t xml:space="preserve"> basis, but we appreciate the need for consistency and to ensure that the threshold for permanent orders is suitably high, being something more than the ordinary consequences that are anticipated to follow publication of adverse findings. We agree with the PCC to the extent that the embarrassment felt by the respondent’s family is one such ordinary consequence. </w:t>
      </w:r>
    </w:p>
    <w:p w14:paraId="362CDC22" w14:textId="125FADE1" w:rsidR="004D2089" w:rsidRDefault="00CC2FEC" w:rsidP="009417F6">
      <w:pPr>
        <w:pStyle w:val="ListParagraph"/>
        <w:numPr>
          <w:ilvl w:val="0"/>
          <w:numId w:val="18"/>
        </w:numPr>
        <w:spacing w:after="240" w:line="360" w:lineRule="auto"/>
        <w:jc w:val="both"/>
        <w:rPr>
          <w:rFonts w:ascii="Arial" w:hAnsi="Arial" w:cs="Arial"/>
        </w:rPr>
      </w:pPr>
      <w:r>
        <w:rPr>
          <w:rFonts w:ascii="Arial" w:hAnsi="Arial" w:cs="Arial"/>
        </w:rPr>
        <w:t xml:space="preserve">In reaching our decision we have considered the </w:t>
      </w:r>
      <w:r w:rsidR="00AD73C3">
        <w:rPr>
          <w:rFonts w:ascii="Arial" w:hAnsi="Arial" w:cs="Arial"/>
        </w:rPr>
        <w:t xml:space="preserve">submissions made, and </w:t>
      </w:r>
      <w:r w:rsidR="00182D59">
        <w:rPr>
          <w:rFonts w:ascii="Arial" w:hAnsi="Arial" w:cs="Arial"/>
        </w:rPr>
        <w:t xml:space="preserve">taken into account </w:t>
      </w:r>
      <w:r w:rsidR="00AD73C3">
        <w:rPr>
          <w:rFonts w:ascii="Arial" w:hAnsi="Arial" w:cs="Arial"/>
        </w:rPr>
        <w:t xml:space="preserve">the </w:t>
      </w:r>
      <w:r>
        <w:rPr>
          <w:rFonts w:ascii="Arial" w:hAnsi="Arial" w:cs="Arial"/>
        </w:rPr>
        <w:t xml:space="preserve">following: the time elapsed since the offending, the fact that the respondent is no longer a registered social worker and is retraining in a completely different profession, the risk of harm to her mental health and the risk we perceive to her former colleagues who were the subject of her harassment and misconduct. </w:t>
      </w:r>
      <w:r w:rsidR="00A53C98">
        <w:rPr>
          <w:rFonts w:ascii="Arial" w:hAnsi="Arial" w:cs="Arial"/>
        </w:rPr>
        <w:t xml:space="preserve">There is also some force in the respondent’s submissions regarding the potential for additional publicity and harm than would have been the case had the two charges been disposed of together. </w:t>
      </w:r>
      <w:r w:rsidR="004D2089">
        <w:rPr>
          <w:rFonts w:ascii="Arial" w:hAnsi="Arial" w:cs="Arial"/>
        </w:rPr>
        <w:t xml:space="preserve">We also note that the false name used by the respondent was the same name falsely used by her previously, in conduct that was dealt with in the first disciplinary proceedings. That false name was published in </w:t>
      </w:r>
      <w:r w:rsidR="009B3DCA">
        <w:rPr>
          <w:rFonts w:ascii="Arial" w:hAnsi="Arial" w:cs="Arial"/>
        </w:rPr>
        <w:t>[date]</w:t>
      </w:r>
      <w:r w:rsidR="004D2089">
        <w:rPr>
          <w:rFonts w:ascii="Arial" w:hAnsi="Arial" w:cs="Arial"/>
        </w:rPr>
        <w:t>, providing an opportunity for others to come forward</w:t>
      </w:r>
      <w:r w:rsidR="00022151">
        <w:rPr>
          <w:rFonts w:ascii="Arial" w:hAnsi="Arial" w:cs="Arial"/>
        </w:rPr>
        <w:t>.</w:t>
      </w:r>
      <w:r w:rsidR="004D2089">
        <w:rPr>
          <w:rFonts w:ascii="Arial" w:hAnsi="Arial" w:cs="Arial"/>
        </w:rPr>
        <w:t xml:space="preserve">  </w:t>
      </w:r>
    </w:p>
    <w:p w14:paraId="7205DFFC" w14:textId="77777777" w:rsidR="004D2089" w:rsidRPr="004D2089" w:rsidRDefault="004D2089" w:rsidP="004D2089">
      <w:pPr>
        <w:pStyle w:val="ListParagraph"/>
        <w:rPr>
          <w:rFonts w:ascii="Arial" w:hAnsi="Arial" w:cs="Arial"/>
        </w:rPr>
      </w:pPr>
    </w:p>
    <w:p w14:paraId="72A7B4EB" w14:textId="31521CEF" w:rsidR="00EF17E4" w:rsidRDefault="00CC2FEC" w:rsidP="009417F6">
      <w:pPr>
        <w:pStyle w:val="ListParagraph"/>
        <w:numPr>
          <w:ilvl w:val="0"/>
          <w:numId w:val="18"/>
        </w:numPr>
        <w:spacing w:after="240" w:line="360" w:lineRule="auto"/>
        <w:jc w:val="both"/>
        <w:rPr>
          <w:rFonts w:ascii="Arial" w:hAnsi="Arial" w:cs="Arial"/>
        </w:rPr>
      </w:pPr>
      <w:r>
        <w:rPr>
          <w:rFonts w:ascii="Arial" w:hAnsi="Arial" w:cs="Arial"/>
        </w:rPr>
        <w:t>On balance</w:t>
      </w:r>
      <w:r w:rsidR="00A53C98">
        <w:rPr>
          <w:rFonts w:ascii="Arial" w:hAnsi="Arial" w:cs="Arial"/>
        </w:rPr>
        <w:t>,</w:t>
      </w:r>
      <w:r>
        <w:rPr>
          <w:rFonts w:ascii="Arial" w:hAnsi="Arial" w:cs="Arial"/>
        </w:rPr>
        <w:t xml:space="preserve"> we consider that it is desirable to make an order</w:t>
      </w:r>
      <w:r w:rsidR="00382171">
        <w:rPr>
          <w:rFonts w:ascii="Arial" w:hAnsi="Arial" w:cs="Arial"/>
        </w:rPr>
        <w:t xml:space="preserve"> for non-publication.</w:t>
      </w:r>
    </w:p>
    <w:p w14:paraId="0CC9FBBD" w14:textId="77777777" w:rsidR="00E856E8" w:rsidRPr="00E856E8" w:rsidRDefault="00E856E8" w:rsidP="00E856E8">
      <w:pPr>
        <w:pStyle w:val="ListParagraph"/>
        <w:rPr>
          <w:rFonts w:ascii="Arial" w:hAnsi="Arial" w:cs="Arial"/>
        </w:rPr>
      </w:pPr>
    </w:p>
    <w:p w14:paraId="3B9CE355" w14:textId="340208EB" w:rsidR="00E856E8" w:rsidRDefault="00E856E8" w:rsidP="009417F6">
      <w:pPr>
        <w:pStyle w:val="ListParagraph"/>
        <w:numPr>
          <w:ilvl w:val="0"/>
          <w:numId w:val="18"/>
        </w:numPr>
        <w:spacing w:after="240" w:line="360" w:lineRule="auto"/>
        <w:jc w:val="both"/>
        <w:rPr>
          <w:rFonts w:ascii="Arial" w:hAnsi="Arial" w:cs="Arial"/>
        </w:rPr>
      </w:pPr>
      <w:r>
        <w:rPr>
          <w:rFonts w:ascii="Arial" w:hAnsi="Arial" w:cs="Arial"/>
        </w:rPr>
        <w:t xml:space="preserve">In terms of identifying particulars, we acknowledge some difficulty given the previous proceeding and some inevitability that the respondent will be identifiable to some members of the public even reading a redacted version of this decision. We consider that identifying particulars include the respondent’s former places of employment as a social worker, namely </w:t>
      </w:r>
      <w:r w:rsidR="004D7872">
        <w:rPr>
          <w:rFonts w:ascii="Arial" w:hAnsi="Arial" w:cs="Arial"/>
        </w:rPr>
        <w:t>[employer 1]</w:t>
      </w:r>
      <w:r>
        <w:rPr>
          <w:rFonts w:ascii="Arial" w:hAnsi="Arial" w:cs="Arial"/>
        </w:rPr>
        <w:t xml:space="preserve"> (which was the subject of an order in the first proceedings) and the </w:t>
      </w:r>
      <w:r w:rsidR="004D7872">
        <w:rPr>
          <w:rFonts w:ascii="Arial" w:hAnsi="Arial" w:cs="Arial"/>
        </w:rPr>
        <w:t>[employer 2]</w:t>
      </w:r>
      <w:r w:rsidR="00E12470">
        <w:rPr>
          <w:rFonts w:ascii="Arial" w:hAnsi="Arial" w:cs="Arial"/>
        </w:rPr>
        <w:t xml:space="preserve"> (which was named in the first proceedings)</w:t>
      </w:r>
      <w:r>
        <w:rPr>
          <w:rFonts w:ascii="Arial" w:hAnsi="Arial" w:cs="Arial"/>
        </w:rPr>
        <w:t xml:space="preserve">. </w:t>
      </w:r>
      <w:r w:rsidR="00E12470">
        <w:rPr>
          <w:rFonts w:ascii="Arial" w:hAnsi="Arial" w:cs="Arial"/>
        </w:rPr>
        <w:t>Publicity linking this case specifically to the first proceeding would also identify the respondent. The fact that the respondent has faced another charge is relevant to how we have dealt with this matter so in itself cannot be suppressed.</w:t>
      </w:r>
    </w:p>
    <w:p w14:paraId="47451A9E" w14:textId="0B61BFB7" w:rsidR="00382171" w:rsidRPr="00382171" w:rsidRDefault="00382171" w:rsidP="00382171">
      <w:pPr>
        <w:spacing w:after="240" w:line="360" w:lineRule="auto"/>
        <w:ind w:left="360"/>
        <w:jc w:val="both"/>
        <w:rPr>
          <w:rFonts w:ascii="Arial" w:hAnsi="Arial" w:cs="Arial"/>
          <w:b/>
          <w:bCs/>
        </w:rPr>
      </w:pPr>
      <w:r w:rsidRPr="00382171">
        <w:rPr>
          <w:rFonts w:ascii="Arial" w:hAnsi="Arial" w:cs="Arial"/>
          <w:b/>
          <w:bCs/>
        </w:rPr>
        <w:t>Costs</w:t>
      </w:r>
    </w:p>
    <w:p w14:paraId="46017C5C" w14:textId="5A5CDA31" w:rsidR="00382171" w:rsidRDefault="00382171" w:rsidP="009417F6">
      <w:pPr>
        <w:pStyle w:val="ListParagraph"/>
        <w:numPr>
          <w:ilvl w:val="0"/>
          <w:numId w:val="18"/>
        </w:numPr>
        <w:spacing w:after="240" w:line="360" w:lineRule="auto"/>
        <w:jc w:val="both"/>
        <w:rPr>
          <w:rFonts w:ascii="Arial" w:hAnsi="Arial" w:cs="Arial"/>
        </w:rPr>
      </w:pPr>
      <w:r>
        <w:rPr>
          <w:rFonts w:ascii="Arial" w:hAnsi="Arial" w:cs="Arial"/>
        </w:rPr>
        <w:t>Section 83</w:t>
      </w:r>
      <w:r w:rsidR="00BA30F5">
        <w:rPr>
          <w:rFonts w:ascii="Arial" w:hAnsi="Arial" w:cs="Arial"/>
        </w:rPr>
        <w:t>(e)</w:t>
      </w:r>
      <w:r w:rsidR="00E322CA">
        <w:rPr>
          <w:rFonts w:ascii="Arial" w:hAnsi="Arial" w:cs="Arial"/>
        </w:rPr>
        <w:t xml:space="preserve">(ii) and (iii) respectively </w:t>
      </w:r>
      <w:r w:rsidR="00BA30F5">
        <w:rPr>
          <w:rFonts w:ascii="Arial" w:hAnsi="Arial" w:cs="Arial"/>
        </w:rPr>
        <w:t>provide that the Tribunal may order that a social worker pays part or all of the costs of and incident</w:t>
      </w:r>
      <w:r w:rsidR="00A53C98">
        <w:rPr>
          <w:rFonts w:ascii="Arial" w:hAnsi="Arial" w:cs="Arial"/>
        </w:rPr>
        <w:t>al</w:t>
      </w:r>
      <w:r w:rsidR="00BA30F5">
        <w:rPr>
          <w:rFonts w:ascii="Arial" w:hAnsi="Arial" w:cs="Arial"/>
        </w:rPr>
        <w:t xml:space="preserve"> to the </w:t>
      </w:r>
      <w:r w:rsidR="00E322CA">
        <w:rPr>
          <w:rFonts w:ascii="Arial" w:hAnsi="Arial" w:cs="Arial"/>
        </w:rPr>
        <w:t xml:space="preserve">PCC inquiry and the prosecution of the charge. </w:t>
      </w:r>
      <w:r w:rsidR="00B17621">
        <w:rPr>
          <w:rFonts w:ascii="Arial" w:hAnsi="Arial" w:cs="Arial"/>
        </w:rPr>
        <w:t xml:space="preserve">An order for costs is discretionary, </w:t>
      </w:r>
      <w:r w:rsidR="004B1FB5">
        <w:rPr>
          <w:rFonts w:ascii="Arial" w:hAnsi="Arial" w:cs="Arial"/>
        </w:rPr>
        <w:t>recognising in part that parties to a disciplinary proceeding are not on the same footing as parties to a civil proceeding, and the public element of such proceedings. It is common for costs to be sought on behalf of the PCC when a charge is successfully prosecuted. As with other penalties under s</w:t>
      </w:r>
      <w:r w:rsidR="00A53C98">
        <w:rPr>
          <w:rFonts w:ascii="Arial" w:hAnsi="Arial" w:cs="Arial"/>
        </w:rPr>
        <w:t xml:space="preserve"> </w:t>
      </w:r>
      <w:r w:rsidR="004B1FB5">
        <w:rPr>
          <w:rFonts w:ascii="Arial" w:hAnsi="Arial" w:cs="Arial"/>
        </w:rPr>
        <w:t>83, the Tribunal will weigh various factors to reach an outcome that i</w:t>
      </w:r>
      <w:r w:rsidR="00A53C98">
        <w:rPr>
          <w:rFonts w:ascii="Arial" w:hAnsi="Arial" w:cs="Arial"/>
        </w:rPr>
        <w:t>t considers is</w:t>
      </w:r>
      <w:r w:rsidR="004B1FB5">
        <w:rPr>
          <w:rFonts w:ascii="Arial" w:hAnsi="Arial" w:cs="Arial"/>
        </w:rPr>
        <w:t xml:space="preserve"> fair and reasonable in the circumstances.</w:t>
      </w:r>
    </w:p>
    <w:p w14:paraId="65779A36" w14:textId="77777777" w:rsidR="00E322CA" w:rsidRDefault="00E322CA" w:rsidP="00E322CA">
      <w:pPr>
        <w:pStyle w:val="ListParagraph"/>
        <w:spacing w:after="240" w:line="360" w:lineRule="auto"/>
        <w:jc w:val="both"/>
        <w:rPr>
          <w:rFonts w:ascii="Arial" w:hAnsi="Arial" w:cs="Arial"/>
        </w:rPr>
      </w:pPr>
    </w:p>
    <w:p w14:paraId="282FA092" w14:textId="2EDE10F9" w:rsidR="00E322CA" w:rsidRDefault="004B1FB5" w:rsidP="009417F6">
      <w:pPr>
        <w:pStyle w:val="ListParagraph"/>
        <w:numPr>
          <w:ilvl w:val="0"/>
          <w:numId w:val="18"/>
        </w:numPr>
        <w:spacing w:after="240" w:line="360" w:lineRule="auto"/>
        <w:jc w:val="both"/>
        <w:rPr>
          <w:rFonts w:ascii="Arial" w:hAnsi="Arial" w:cs="Arial"/>
        </w:rPr>
      </w:pPr>
      <w:r>
        <w:rPr>
          <w:rFonts w:ascii="Arial" w:hAnsi="Arial" w:cs="Arial"/>
        </w:rPr>
        <w:t xml:space="preserve">After </w:t>
      </w:r>
      <w:r w:rsidR="00E322CA">
        <w:rPr>
          <w:rFonts w:ascii="Arial" w:hAnsi="Arial" w:cs="Arial"/>
        </w:rPr>
        <w:t>filing written submissions</w:t>
      </w:r>
      <w:r>
        <w:rPr>
          <w:rFonts w:ascii="Arial" w:hAnsi="Arial" w:cs="Arial"/>
        </w:rPr>
        <w:t xml:space="preserve"> which indicated an application would be made for costs</w:t>
      </w:r>
      <w:r w:rsidR="00E322CA">
        <w:rPr>
          <w:rFonts w:ascii="Arial" w:hAnsi="Arial" w:cs="Arial"/>
        </w:rPr>
        <w:t>, counsel for the PCC advised that the PCC is neutral on the position of costs</w:t>
      </w:r>
      <w:r w:rsidR="00B3055F">
        <w:rPr>
          <w:rFonts w:ascii="Arial" w:hAnsi="Arial" w:cs="Arial"/>
        </w:rPr>
        <w:t xml:space="preserve"> and </w:t>
      </w:r>
      <w:r w:rsidR="00E322CA">
        <w:rPr>
          <w:rFonts w:ascii="Arial" w:hAnsi="Arial" w:cs="Arial"/>
        </w:rPr>
        <w:t xml:space="preserve">will abide the Tribunal’s decision </w:t>
      </w:r>
      <w:r>
        <w:rPr>
          <w:rFonts w:ascii="Arial" w:hAnsi="Arial" w:cs="Arial"/>
        </w:rPr>
        <w:t>in this regard</w:t>
      </w:r>
      <w:r w:rsidR="00E322CA">
        <w:rPr>
          <w:rFonts w:ascii="Arial" w:hAnsi="Arial" w:cs="Arial"/>
        </w:rPr>
        <w:t>.</w:t>
      </w:r>
      <w:r>
        <w:rPr>
          <w:rFonts w:ascii="Arial" w:hAnsi="Arial" w:cs="Arial"/>
        </w:rPr>
        <w:t xml:space="preserve">  </w:t>
      </w:r>
      <w:r w:rsidR="00E322CA">
        <w:rPr>
          <w:rFonts w:ascii="Arial" w:hAnsi="Arial" w:cs="Arial"/>
        </w:rPr>
        <w:t xml:space="preserve"> </w:t>
      </w:r>
      <w:r w:rsidR="00C6422B">
        <w:rPr>
          <w:rFonts w:ascii="Arial" w:hAnsi="Arial" w:cs="Arial"/>
        </w:rPr>
        <w:t xml:space="preserve"> </w:t>
      </w:r>
    </w:p>
    <w:p w14:paraId="6FAACBF0" w14:textId="77777777" w:rsidR="00E322CA" w:rsidRPr="00E322CA" w:rsidRDefault="00E322CA" w:rsidP="00E322CA">
      <w:pPr>
        <w:pStyle w:val="ListParagraph"/>
        <w:rPr>
          <w:rFonts w:ascii="Arial" w:hAnsi="Arial" w:cs="Arial"/>
        </w:rPr>
      </w:pPr>
    </w:p>
    <w:p w14:paraId="38F0243B" w14:textId="247D88E9" w:rsidR="00E322CA" w:rsidRDefault="00E322CA" w:rsidP="009417F6">
      <w:pPr>
        <w:pStyle w:val="ListParagraph"/>
        <w:numPr>
          <w:ilvl w:val="0"/>
          <w:numId w:val="18"/>
        </w:numPr>
        <w:spacing w:after="240" w:line="360" w:lineRule="auto"/>
        <w:jc w:val="both"/>
        <w:rPr>
          <w:rFonts w:ascii="Arial" w:hAnsi="Arial" w:cs="Arial"/>
        </w:rPr>
      </w:pPr>
      <w:r>
        <w:rPr>
          <w:rFonts w:ascii="Arial" w:hAnsi="Arial" w:cs="Arial"/>
        </w:rPr>
        <w:t xml:space="preserve">Counsel for the respondent </w:t>
      </w:r>
      <w:r w:rsidR="00B17621">
        <w:rPr>
          <w:rFonts w:ascii="Arial" w:hAnsi="Arial" w:cs="Arial"/>
        </w:rPr>
        <w:t>submitted that no order for costs should be made, in reliance on the significant costs award in the first proceedings (over $30,000), the respondent’s limited means and further:</w:t>
      </w:r>
    </w:p>
    <w:p w14:paraId="710F78F8" w14:textId="77777777" w:rsidR="00B17621" w:rsidRPr="00B17621" w:rsidRDefault="00B17621" w:rsidP="00B17621">
      <w:pPr>
        <w:pStyle w:val="ListParagraph"/>
        <w:rPr>
          <w:rFonts w:ascii="Arial" w:hAnsi="Arial" w:cs="Arial"/>
        </w:rPr>
      </w:pPr>
    </w:p>
    <w:p w14:paraId="68C1E232" w14:textId="183DF966" w:rsidR="00B17621" w:rsidRDefault="00B17621" w:rsidP="00B17621">
      <w:pPr>
        <w:pStyle w:val="ListParagraph"/>
        <w:spacing w:after="240" w:line="360" w:lineRule="auto"/>
        <w:ind w:left="1440"/>
        <w:jc w:val="both"/>
        <w:rPr>
          <w:rFonts w:ascii="Arial" w:hAnsi="Arial" w:cs="Arial"/>
        </w:rPr>
      </w:pPr>
      <w:r w:rsidRPr="00C6422B">
        <w:rPr>
          <w:rFonts w:ascii="Arial" w:hAnsi="Arial" w:cs="Arial"/>
          <w:sz w:val="20"/>
          <w:szCs w:val="20"/>
        </w:rPr>
        <w:t xml:space="preserve">…the fact that this matter is being dealt with in a separate set of proceedings is a result of the applicant’s actions. It was aware of the convictions and the outcome prior to the first complaint proceeding to a hearing and it could easily have taken steps to include this matter in those proceedings. Any costs </w:t>
      </w:r>
      <w:r w:rsidR="00C6422B" w:rsidRPr="00C6422B">
        <w:rPr>
          <w:rFonts w:ascii="Arial" w:hAnsi="Arial" w:cs="Arial"/>
          <w:sz w:val="20"/>
          <w:szCs w:val="20"/>
        </w:rPr>
        <w:t>award in these proceedings would be onerous and unfounded</w:t>
      </w:r>
      <w:r w:rsidR="00C6422B">
        <w:rPr>
          <w:rFonts w:ascii="Arial" w:hAnsi="Arial" w:cs="Arial"/>
        </w:rPr>
        <w:t>.</w:t>
      </w:r>
    </w:p>
    <w:p w14:paraId="162D9DF5" w14:textId="77777777" w:rsidR="0088553A" w:rsidRDefault="0088553A" w:rsidP="00B17621">
      <w:pPr>
        <w:pStyle w:val="ListParagraph"/>
        <w:spacing w:after="240" w:line="360" w:lineRule="auto"/>
        <w:ind w:left="1440"/>
        <w:jc w:val="both"/>
        <w:rPr>
          <w:rFonts w:ascii="Arial" w:hAnsi="Arial" w:cs="Arial"/>
        </w:rPr>
      </w:pPr>
    </w:p>
    <w:p w14:paraId="5A565316" w14:textId="696C8B32" w:rsidR="00B17621" w:rsidRDefault="0088553A" w:rsidP="009417F6">
      <w:pPr>
        <w:pStyle w:val="ListParagraph"/>
        <w:numPr>
          <w:ilvl w:val="0"/>
          <w:numId w:val="18"/>
        </w:numPr>
        <w:spacing w:after="240" w:line="360" w:lineRule="auto"/>
        <w:jc w:val="both"/>
        <w:rPr>
          <w:rFonts w:ascii="Arial" w:hAnsi="Arial" w:cs="Arial"/>
        </w:rPr>
      </w:pPr>
      <w:r>
        <w:rPr>
          <w:rFonts w:ascii="Arial" w:hAnsi="Arial" w:cs="Arial"/>
        </w:rPr>
        <w:t>In oral submissions Mr Williams expanded on this, submitting that had the PCC ensured that this matter was dealt with concurrently with the first proceedings that the outcome would have been the same, namely censure and cancellation.</w:t>
      </w:r>
    </w:p>
    <w:p w14:paraId="1739CFF1" w14:textId="77777777" w:rsidR="00E4007B" w:rsidRDefault="00E4007B" w:rsidP="00E4007B">
      <w:pPr>
        <w:pStyle w:val="ListParagraph"/>
        <w:spacing w:after="240" w:line="360" w:lineRule="auto"/>
        <w:jc w:val="both"/>
        <w:rPr>
          <w:rFonts w:ascii="Arial" w:hAnsi="Arial" w:cs="Arial"/>
        </w:rPr>
      </w:pPr>
    </w:p>
    <w:p w14:paraId="6E18BEE5" w14:textId="59250BEB" w:rsidR="00C602CA" w:rsidRDefault="00C602CA" w:rsidP="009417F6">
      <w:pPr>
        <w:pStyle w:val="ListParagraph"/>
        <w:numPr>
          <w:ilvl w:val="0"/>
          <w:numId w:val="18"/>
        </w:numPr>
        <w:spacing w:after="240" w:line="360" w:lineRule="auto"/>
        <w:jc w:val="both"/>
        <w:rPr>
          <w:rFonts w:ascii="Arial" w:hAnsi="Arial" w:cs="Arial"/>
        </w:rPr>
      </w:pPr>
      <w:r>
        <w:rPr>
          <w:rFonts w:ascii="Arial" w:hAnsi="Arial" w:cs="Arial"/>
        </w:rPr>
        <w:t xml:space="preserve">We have determined not to make an order for costs against the respondent. This is consistent with the position taken by the PCC when it determined to lay the charge (noting at the conclusion of the report that </w:t>
      </w:r>
      <w:r w:rsidR="00A53C98">
        <w:rPr>
          <w:rFonts w:ascii="Arial" w:hAnsi="Arial" w:cs="Arial"/>
        </w:rPr>
        <w:t xml:space="preserve">it supported not pursuing a further </w:t>
      </w:r>
      <w:r>
        <w:rPr>
          <w:rFonts w:ascii="Arial" w:hAnsi="Arial" w:cs="Arial"/>
        </w:rPr>
        <w:t xml:space="preserve">award </w:t>
      </w:r>
      <w:r w:rsidR="00A53C98">
        <w:rPr>
          <w:rFonts w:ascii="Arial" w:hAnsi="Arial" w:cs="Arial"/>
        </w:rPr>
        <w:t>of costs</w:t>
      </w:r>
      <w:r>
        <w:rPr>
          <w:rFonts w:ascii="Arial" w:hAnsi="Arial" w:cs="Arial"/>
        </w:rPr>
        <w:t>).</w:t>
      </w:r>
    </w:p>
    <w:p w14:paraId="4660561F" w14:textId="77777777" w:rsidR="00C602CA" w:rsidRPr="00C602CA" w:rsidRDefault="00C602CA" w:rsidP="00C602CA">
      <w:pPr>
        <w:pStyle w:val="ListParagraph"/>
        <w:rPr>
          <w:rFonts w:ascii="Arial" w:hAnsi="Arial" w:cs="Arial"/>
        </w:rPr>
      </w:pPr>
    </w:p>
    <w:p w14:paraId="3D069B7C" w14:textId="247C87A1" w:rsidR="00E4007B" w:rsidRDefault="00C602CA" w:rsidP="009417F6">
      <w:pPr>
        <w:pStyle w:val="ListParagraph"/>
        <w:numPr>
          <w:ilvl w:val="0"/>
          <w:numId w:val="18"/>
        </w:numPr>
        <w:spacing w:after="240" w:line="360" w:lineRule="auto"/>
        <w:jc w:val="both"/>
        <w:rPr>
          <w:rFonts w:ascii="Arial" w:hAnsi="Arial" w:cs="Arial"/>
        </w:rPr>
      </w:pPr>
      <w:r>
        <w:rPr>
          <w:rFonts w:ascii="Arial" w:hAnsi="Arial" w:cs="Arial"/>
        </w:rPr>
        <w:t>We also consider that given the extent of costs for which the respondent is already liable, the fact this matter was dealt with by audio-visual link and with an agreed summary of facts, and the financial circumstances of the respondent insofar as these have been made known to us, it is appropriate to let costs lie where they fall. We do not make any finding in relation to whether the proceedings ought to have been consolidated but perceive that there may have been an opportunity lost in this regard.</w:t>
      </w:r>
      <w:r w:rsidR="00E4007B">
        <w:rPr>
          <w:rFonts w:ascii="Arial" w:hAnsi="Arial" w:cs="Arial"/>
        </w:rPr>
        <w:t xml:space="preserve"> </w:t>
      </w:r>
    </w:p>
    <w:p w14:paraId="54A52CA1" w14:textId="77777777" w:rsidR="00C602CA" w:rsidRPr="00C602CA" w:rsidRDefault="00C602CA" w:rsidP="00C602CA">
      <w:pPr>
        <w:pStyle w:val="ListParagraph"/>
        <w:rPr>
          <w:rFonts w:ascii="Arial" w:hAnsi="Arial" w:cs="Arial"/>
        </w:rPr>
      </w:pPr>
    </w:p>
    <w:p w14:paraId="098BD634" w14:textId="4622FDE6" w:rsidR="00C602CA" w:rsidRPr="00C602CA" w:rsidRDefault="00E856E8" w:rsidP="00C602CA">
      <w:pPr>
        <w:pStyle w:val="ListParagraph"/>
        <w:spacing w:after="240" w:line="360" w:lineRule="auto"/>
        <w:jc w:val="both"/>
        <w:rPr>
          <w:rFonts w:ascii="Arial" w:hAnsi="Arial" w:cs="Arial"/>
          <w:b/>
          <w:bCs/>
        </w:rPr>
      </w:pPr>
      <w:r>
        <w:rPr>
          <w:rFonts w:ascii="Arial" w:hAnsi="Arial" w:cs="Arial"/>
          <w:b/>
          <w:bCs/>
        </w:rPr>
        <w:t xml:space="preserve">Indicative </w:t>
      </w:r>
      <w:r w:rsidR="00C602CA" w:rsidRPr="00C602CA">
        <w:rPr>
          <w:rFonts w:ascii="Arial" w:hAnsi="Arial" w:cs="Arial"/>
          <w:b/>
          <w:bCs/>
        </w:rPr>
        <w:t>Orders</w:t>
      </w:r>
      <w:r>
        <w:rPr>
          <w:rFonts w:ascii="Arial" w:hAnsi="Arial" w:cs="Arial"/>
          <w:b/>
          <w:bCs/>
        </w:rPr>
        <w:t xml:space="preserve"> and Orders for Non-Publication</w:t>
      </w:r>
    </w:p>
    <w:p w14:paraId="730BE513" w14:textId="77777777" w:rsidR="00C602CA" w:rsidRPr="00C602CA" w:rsidRDefault="00C602CA" w:rsidP="00C602CA">
      <w:pPr>
        <w:pStyle w:val="ListParagraph"/>
        <w:rPr>
          <w:rFonts w:ascii="Arial" w:hAnsi="Arial" w:cs="Arial"/>
        </w:rPr>
      </w:pPr>
    </w:p>
    <w:p w14:paraId="428B3F65" w14:textId="4BC27684" w:rsidR="00C602CA" w:rsidRDefault="00E856E8" w:rsidP="009417F6">
      <w:pPr>
        <w:pStyle w:val="ListParagraph"/>
        <w:numPr>
          <w:ilvl w:val="0"/>
          <w:numId w:val="18"/>
        </w:numPr>
        <w:spacing w:after="240" w:line="360" w:lineRule="auto"/>
        <w:jc w:val="both"/>
        <w:rPr>
          <w:rFonts w:ascii="Arial" w:hAnsi="Arial" w:cs="Arial"/>
        </w:rPr>
      </w:pPr>
      <w:r>
        <w:rPr>
          <w:rFonts w:ascii="Arial" w:hAnsi="Arial" w:cs="Arial"/>
        </w:rPr>
        <w:t>Accordingly, we make the following indicative orders:</w:t>
      </w:r>
    </w:p>
    <w:p w14:paraId="3D8DA730" w14:textId="77777777" w:rsidR="00E856E8" w:rsidRDefault="00E856E8" w:rsidP="00E856E8">
      <w:pPr>
        <w:pStyle w:val="ListParagraph"/>
        <w:spacing w:after="240" w:line="360" w:lineRule="auto"/>
        <w:jc w:val="both"/>
        <w:rPr>
          <w:rFonts w:ascii="Arial" w:hAnsi="Arial" w:cs="Arial"/>
        </w:rPr>
      </w:pPr>
    </w:p>
    <w:p w14:paraId="70A7FE12" w14:textId="4A0F65D5" w:rsidR="00E856E8" w:rsidRDefault="00E856E8" w:rsidP="00E856E8">
      <w:pPr>
        <w:pStyle w:val="ListParagraph"/>
        <w:numPr>
          <w:ilvl w:val="1"/>
          <w:numId w:val="18"/>
        </w:numPr>
        <w:spacing w:after="240" w:line="360" w:lineRule="auto"/>
        <w:jc w:val="both"/>
        <w:rPr>
          <w:rFonts w:ascii="Arial" w:hAnsi="Arial" w:cs="Arial"/>
        </w:rPr>
      </w:pPr>
      <w:r>
        <w:rPr>
          <w:rFonts w:ascii="Arial" w:hAnsi="Arial" w:cs="Arial"/>
        </w:rPr>
        <w:t>But-for the cancellation of the respondent’s registration we would have order cancellation and censure for the reasons set out above.</w:t>
      </w:r>
    </w:p>
    <w:p w14:paraId="67AC5E67" w14:textId="77777777" w:rsidR="00E856E8" w:rsidRDefault="00E856E8" w:rsidP="00E856E8">
      <w:pPr>
        <w:pStyle w:val="ListParagraph"/>
        <w:spacing w:after="240" w:line="360" w:lineRule="auto"/>
        <w:ind w:left="1440"/>
        <w:jc w:val="both"/>
        <w:rPr>
          <w:rFonts w:ascii="Arial" w:hAnsi="Arial" w:cs="Arial"/>
        </w:rPr>
      </w:pPr>
    </w:p>
    <w:p w14:paraId="44E66752" w14:textId="7275393D" w:rsidR="00E856E8" w:rsidRDefault="00E856E8" w:rsidP="00E856E8">
      <w:pPr>
        <w:pStyle w:val="ListParagraph"/>
        <w:numPr>
          <w:ilvl w:val="0"/>
          <w:numId w:val="18"/>
        </w:numPr>
        <w:spacing w:after="240" w:line="360" w:lineRule="auto"/>
        <w:jc w:val="both"/>
        <w:rPr>
          <w:rFonts w:ascii="Arial" w:hAnsi="Arial" w:cs="Arial"/>
        </w:rPr>
      </w:pPr>
      <w:r>
        <w:rPr>
          <w:rFonts w:ascii="Arial" w:hAnsi="Arial" w:cs="Arial"/>
        </w:rPr>
        <w:t>We make the following orders for non-publication:</w:t>
      </w:r>
    </w:p>
    <w:p w14:paraId="6734D677" w14:textId="77777777" w:rsidR="00E856E8" w:rsidRDefault="00E856E8" w:rsidP="00E856E8">
      <w:pPr>
        <w:pStyle w:val="ListParagraph"/>
        <w:spacing w:after="240" w:line="360" w:lineRule="auto"/>
        <w:jc w:val="both"/>
        <w:rPr>
          <w:rFonts w:ascii="Arial" w:hAnsi="Arial" w:cs="Arial"/>
        </w:rPr>
      </w:pPr>
    </w:p>
    <w:p w14:paraId="2815FF24" w14:textId="02D41269" w:rsidR="00E856E8" w:rsidRDefault="00E856E8" w:rsidP="00E856E8">
      <w:pPr>
        <w:pStyle w:val="ListParagraph"/>
        <w:numPr>
          <w:ilvl w:val="1"/>
          <w:numId w:val="18"/>
        </w:numPr>
        <w:spacing w:after="240" w:line="360" w:lineRule="auto"/>
        <w:jc w:val="both"/>
        <w:rPr>
          <w:rFonts w:ascii="Arial" w:hAnsi="Arial" w:cs="Arial"/>
        </w:rPr>
      </w:pPr>
      <w:r>
        <w:rPr>
          <w:rFonts w:ascii="Arial" w:hAnsi="Arial" w:cs="Arial"/>
        </w:rPr>
        <w:t>The name and identifying particulars of the respondent.</w:t>
      </w:r>
    </w:p>
    <w:p w14:paraId="3C71A61E" w14:textId="77777777" w:rsidR="00E856E8" w:rsidRDefault="00E856E8" w:rsidP="00E856E8">
      <w:pPr>
        <w:pStyle w:val="ListParagraph"/>
        <w:spacing w:after="240" w:line="360" w:lineRule="auto"/>
        <w:ind w:left="1440"/>
        <w:jc w:val="both"/>
        <w:rPr>
          <w:rFonts w:ascii="Arial" w:hAnsi="Arial" w:cs="Arial"/>
        </w:rPr>
      </w:pPr>
    </w:p>
    <w:p w14:paraId="61F07AC4" w14:textId="2EA009B6" w:rsidR="00E856E8" w:rsidRPr="00325559" w:rsidRDefault="00E856E8" w:rsidP="00E856E8">
      <w:pPr>
        <w:pStyle w:val="ListParagraph"/>
        <w:numPr>
          <w:ilvl w:val="1"/>
          <w:numId w:val="18"/>
        </w:numPr>
        <w:spacing w:after="240" w:line="360" w:lineRule="auto"/>
        <w:jc w:val="both"/>
        <w:rPr>
          <w:rFonts w:ascii="Arial" w:hAnsi="Arial" w:cs="Arial"/>
        </w:rPr>
      </w:pPr>
      <w:r>
        <w:rPr>
          <w:rFonts w:ascii="Arial" w:hAnsi="Arial" w:cs="Arial"/>
        </w:rPr>
        <w:t>The names of the victims referred to in the charge and Police Summary of Facts.</w:t>
      </w:r>
    </w:p>
    <w:p w14:paraId="0B8D2C85" w14:textId="77777777" w:rsidR="00D3704C" w:rsidRDefault="00D3704C" w:rsidP="00D3704C">
      <w:pPr>
        <w:spacing w:after="240" w:line="360" w:lineRule="auto"/>
        <w:jc w:val="both"/>
        <w:rPr>
          <w:rFonts w:ascii="Arial" w:hAnsi="Arial" w:cs="Arial"/>
        </w:rPr>
      </w:pPr>
    </w:p>
    <w:p w14:paraId="1F585BF7" w14:textId="77777777" w:rsidR="00B23045" w:rsidRDefault="00B23045" w:rsidP="00D3704C">
      <w:pPr>
        <w:spacing w:after="240" w:line="360" w:lineRule="auto"/>
        <w:jc w:val="both"/>
        <w:rPr>
          <w:rFonts w:ascii="Arial" w:hAnsi="Arial" w:cs="Arial"/>
        </w:rPr>
      </w:pPr>
    </w:p>
    <w:p w14:paraId="1BED9922" w14:textId="77777777" w:rsidR="00B23045" w:rsidRPr="00325559" w:rsidRDefault="00B23045" w:rsidP="00D3704C">
      <w:pPr>
        <w:spacing w:after="240" w:line="360" w:lineRule="auto"/>
        <w:jc w:val="both"/>
        <w:rPr>
          <w:rFonts w:ascii="Arial" w:hAnsi="Arial" w:cs="Arial"/>
        </w:rPr>
      </w:pPr>
    </w:p>
    <w:p w14:paraId="6A6C0C57" w14:textId="234F929F" w:rsidR="00D0024A" w:rsidRPr="00AA39A6" w:rsidRDefault="00D0024A" w:rsidP="00D0024A">
      <w:pPr>
        <w:spacing w:after="240" w:line="360" w:lineRule="auto"/>
        <w:jc w:val="both"/>
        <w:rPr>
          <w:rFonts w:ascii="Arial" w:eastAsia="Times New Roman" w:hAnsi="Arial" w:cs="Arial"/>
          <w:b/>
          <w:lang w:val="en-GB"/>
        </w:rPr>
      </w:pPr>
      <w:r w:rsidRPr="00AA39A6">
        <w:rPr>
          <w:rFonts w:ascii="Arial" w:eastAsia="Times New Roman" w:hAnsi="Arial" w:cs="Arial"/>
          <w:b/>
          <w:lang w:val="en-GB"/>
        </w:rPr>
        <w:t>Dated</w:t>
      </w:r>
      <w:r w:rsidR="00325559" w:rsidRPr="00AA39A6">
        <w:rPr>
          <w:rFonts w:ascii="Arial" w:eastAsia="Times New Roman" w:hAnsi="Arial" w:cs="Arial"/>
          <w:b/>
          <w:lang w:val="en-GB"/>
        </w:rPr>
        <w:t xml:space="preserve">: </w:t>
      </w:r>
      <w:r w:rsidR="00A53C98">
        <w:rPr>
          <w:rFonts w:ascii="Arial" w:eastAsia="Times New Roman" w:hAnsi="Arial" w:cs="Arial"/>
          <w:b/>
          <w:lang w:val="en-GB"/>
        </w:rPr>
        <w:t xml:space="preserve"> </w:t>
      </w:r>
      <w:r w:rsidR="00AD73C3">
        <w:rPr>
          <w:rFonts w:ascii="Arial" w:eastAsia="Times New Roman" w:hAnsi="Arial" w:cs="Arial"/>
          <w:b/>
          <w:lang w:val="en-GB"/>
        </w:rPr>
        <w:t xml:space="preserve">8 </w:t>
      </w:r>
      <w:r w:rsidR="00A53C98">
        <w:rPr>
          <w:rFonts w:ascii="Arial" w:eastAsia="Times New Roman" w:hAnsi="Arial" w:cs="Arial"/>
          <w:b/>
          <w:lang w:val="en-GB"/>
        </w:rPr>
        <w:t>March 2024</w:t>
      </w:r>
    </w:p>
    <w:p w14:paraId="25402D4D" w14:textId="77777777" w:rsidR="00D3704C" w:rsidRPr="00325559" w:rsidRDefault="00D3704C" w:rsidP="00D0024A">
      <w:pPr>
        <w:spacing w:after="0"/>
        <w:rPr>
          <w:rFonts w:ascii="Arial" w:hAnsi="Arial" w:cs="Arial"/>
          <w:b/>
          <w:noProof/>
        </w:rPr>
      </w:pPr>
    </w:p>
    <w:p w14:paraId="614F475F" w14:textId="0FC9343C" w:rsidR="00D3704C" w:rsidRPr="00325559" w:rsidRDefault="00D3704C" w:rsidP="00D0024A">
      <w:pPr>
        <w:spacing w:after="0"/>
        <w:rPr>
          <w:rFonts w:ascii="Arial" w:hAnsi="Arial" w:cs="Arial"/>
          <w:b/>
          <w:noProof/>
        </w:rPr>
      </w:pPr>
    </w:p>
    <w:p w14:paraId="43E659CA" w14:textId="77777777" w:rsidR="00D3704C" w:rsidRPr="00325559" w:rsidRDefault="00D3704C" w:rsidP="00D0024A">
      <w:pPr>
        <w:spacing w:after="0"/>
        <w:rPr>
          <w:rFonts w:ascii="Arial" w:hAnsi="Arial" w:cs="Arial"/>
          <w:b/>
          <w:noProof/>
        </w:rPr>
      </w:pPr>
    </w:p>
    <w:p w14:paraId="182FCD4E" w14:textId="2A16B339" w:rsidR="00D0024A" w:rsidRPr="00325559" w:rsidRDefault="00CD0F32" w:rsidP="00D0024A">
      <w:pPr>
        <w:spacing w:after="0"/>
        <w:rPr>
          <w:rFonts w:ascii="Arial" w:hAnsi="Arial" w:cs="Arial"/>
        </w:rPr>
      </w:pPr>
      <w:r w:rsidRPr="00325559">
        <w:rPr>
          <w:rFonts w:ascii="Arial" w:hAnsi="Arial" w:cs="Arial"/>
          <w:b/>
        </w:rPr>
        <w:br/>
      </w:r>
      <w:r w:rsidR="00A3515F" w:rsidRPr="00325559">
        <w:rPr>
          <w:rFonts w:ascii="Arial" w:hAnsi="Arial" w:cs="Arial"/>
        </w:rPr>
        <w:t>Catherine Garvey</w:t>
      </w:r>
    </w:p>
    <w:p w14:paraId="0E96CEF2" w14:textId="564F7AE4" w:rsidR="00A3515F" w:rsidRPr="00325559" w:rsidRDefault="00A3515F" w:rsidP="00D0024A">
      <w:pPr>
        <w:spacing w:after="0"/>
        <w:rPr>
          <w:rFonts w:ascii="Arial" w:hAnsi="Arial" w:cs="Arial"/>
        </w:rPr>
      </w:pPr>
      <w:r w:rsidRPr="00325559">
        <w:rPr>
          <w:rFonts w:ascii="Arial" w:hAnsi="Arial" w:cs="Arial"/>
        </w:rPr>
        <w:t>Chair</w:t>
      </w:r>
    </w:p>
    <w:p w14:paraId="345C6059" w14:textId="187FBCF7" w:rsidR="00D0024A" w:rsidRPr="00325559" w:rsidRDefault="00D0024A" w:rsidP="00D0024A">
      <w:pPr>
        <w:spacing w:after="0"/>
        <w:rPr>
          <w:rFonts w:ascii="Arial" w:hAnsi="Arial" w:cs="Arial"/>
          <w:b/>
        </w:rPr>
      </w:pPr>
    </w:p>
    <w:p w14:paraId="77E99D46" w14:textId="77777777" w:rsidR="005F65DB" w:rsidRDefault="005F65DB" w:rsidP="003109D3">
      <w:pPr>
        <w:rPr>
          <w:rFonts w:ascii="Arial" w:hAnsi="Arial" w:cs="Arial"/>
        </w:rPr>
      </w:pPr>
      <w:bookmarkStart w:id="1" w:name="MyCursorPosition"/>
      <w:bookmarkEnd w:id="1"/>
    </w:p>
    <w:p w14:paraId="5051FA20" w14:textId="77777777" w:rsidR="00C602CA" w:rsidRDefault="00C602CA" w:rsidP="003109D3">
      <w:pPr>
        <w:rPr>
          <w:rFonts w:ascii="Arial" w:hAnsi="Arial" w:cs="Arial"/>
        </w:rPr>
      </w:pPr>
    </w:p>
    <w:p w14:paraId="2D0E69B8" w14:textId="77777777" w:rsidR="00C602CA" w:rsidRDefault="00C602CA" w:rsidP="003109D3">
      <w:pPr>
        <w:rPr>
          <w:rFonts w:ascii="Arial" w:hAnsi="Arial" w:cs="Arial"/>
        </w:rPr>
      </w:pPr>
    </w:p>
    <w:p w14:paraId="5323FEB6" w14:textId="6129FB51" w:rsidR="00C602CA" w:rsidRPr="00C602CA" w:rsidRDefault="00C602CA" w:rsidP="003109D3">
      <w:pPr>
        <w:rPr>
          <w:rFonts w:ascii="Arial" w:hAnsi="Arial" w:cs="Arial"/>
          <w:b/>
          <w:bCs/>
        </w:rPr>
      </w:pPr>
      <w:r w:rsidRPr="00C602CA">
        <w:rPr>
          <w:rFonts w:ascii="Arial" w:hAnsi="Arial" w:cs="Arial"/>
          <w:b/>
          <w:bCs/>
        </w:rPr>
        <w:t>APPEAL NOTICE</w:t>
      </w:r>
    </w:p>
    <w:p w14:paraId="37E98843" w14:textId="2ABD3813" w:rsidR="00C602CA" w:rsidRDefault="00C602CA" w:rsidP="00C602CA">
      <w:pPr>
        <w:pStyle w:val="ListParagraph"/>
        <w:numPr>
          <w:ilvl w:val="0"/>
          <w:numId w:val="21"/>
        </w:numPr>
        <w:rPr>
          <w:rFonts w:ascii="Arial" w:hAnsi="Arial" w:cs="Arial"/>
        </w:rPr>
      </w:pPr>
      <w:r>
        <w:rPr>
          <w:rFonts w:ascii="Arial" w:hAnsi="Arial" w:cs="Arial"/>
        </w:rPr>
        <w:t xml:space="preserve">The parties have a right of appeal </w:t>
      </w:r>
      <w:r w:rsidR="00E856E8">
        <w:rPr>
          <w:rFonts w:ascii="Arial" w:hAnsi="Arial" w:cs="Arial"/>
        </w:rPr>
        <w:t xml:space="preserve">to the District Court </w:t>
      </w:r>
      <w:r>
        <w:rPr>
          <w:rFonts w:ascii="Arial" w:hAnsi="Arial" w:cs="Arial"/>
        </w:rPr>
        <w:t xml:space="preserve">pursuant to section 88 (2) </w:t>
      </w:r>
      <w:r w:rsidR="00E856E8">
        <w:rPr>
          <w:rFonts w:ascii="Arial" w:hAnsi="Arial" w:cs="Arial"/>
        </w:rPr>
        <w:t xml:space="preserve">and 88(3)(c) </w:t>
      </w:r>
      <w:r>
        <w:rPr>
          <w:rFonts w:ascii="Arial" w:hAnsi="Arial" w:cs="Arial"/>
        </w:rPr>
        <w:t xml:space="preserve">of the Social Workers Registration Act </w:t>
      </w:r>
      <w:r w:rsidR="00E856E8">
        <w:rPr>
          <w:rFonts w:ascii="Arial" w:hAnsi="Arial" w:cs="Arial"/>
        </w:rPr>
        <w:t>2003.</w:t>
      </w:r>
    </w:p>
    <w:p w14:paraId="7E5A606D" w14:textId="77777777" w:rsidR="00E856E8" w:rsidRDefault="00E856E8" w:rsidP="00E856E8">
      <w:pPr>
        <w:pStyle w:val="ListParagraph"/>
        <w:rPr>
          <w:rFonts w:ascii="Arial" w:hAnsi="Arial" w:cs="Arial"/>
        </w:rPr>
      </w:pPr>
    </w:p>
    <w:p w14:paraId="4673C2F5" w14:textId="3201734B" w:rsidR="00E856E8" w:rsidRPr="00C602CA" w:rsidRDefault="00E856E8" w:rsidP="00C602CA">
      <w:pPr>
        <w:pStyle w:val="ListParagraph"/>
        <w:numPr>
          <w:ilvl w:val="0"/>
          <w:numId w:val="21"/>
        </w:numPr>
        <w:rPr>
          <w:rFonts w:ascii="Arial" w:hAnsi="Arial" w:cs="Arial"/>
        </w:rPr>
      </w:pPr>
      <w:r>
        <w:rPr>
          <w:rFonts w:ascii="Arial" w:hAnsi="Arial" w:cs="Arial"/>
        </w:rPr>
        <w:t>Any appeal must be brought by notice of appeal in accordance with the rules of court, and within 20 working days from the date on which notice of the decision is given, or within any further time that the District Court Judge allows.</w:t>
      </w:r>
    </w:p>
    <w:sectPr w:rsidR="00E856E8" w:rsidRPr="00C602CA" w:rsidSect="00907D49">
      <w:footerReference w:type="default" r:id="rId17"/>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1F8B6" w14:textId="77777777" w:rsidR="00810794" w:rsidRDefault="00810794">
      <w:pPr>
        <w:spacing w:after="0" w:line="240" w:lineRule="auto"/>
      </w:pPr>
      <w:r>
        <w:separator/>
      </w:r>
    </w:p>
  </w:endnote>
  <w:endnote w:type="continuationSeparator" w:id="0">
    <w:p w14:paraId="0A030A76" w14:textId="77777777" w:rsidR="00810794" w:rsidRDefault="00810794">
      <w:pPr>
        <w:spacing w:after="0" w:line="240" w:lineRule="auto"/>
      </w:pPr>
      <w:r>
        <w:continuationSeparator/>
      </w:r>
    </w:p>
  </w:endnote>
  <w:endnote w:type="continuationNotice" w:id="1">
    <w:p w14:paraId="08B0D2EE" w14:textId="77777777" w:rsidR="00810794" w:rsidRDefault="00810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65EE8" w14:textId="77777777" w:rsidR="00366637" w:rsidRDefault="0036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AA06" w14:textId="77777777" w:rsidR="00D0024A" w:rsidRDefault="00D0024A" w:rsidP="00575B48">
    <w:pPr>
      <w:pStyle w:val="Footer"/>
      <w:rPr>
        <w:b/>
        <w:sz w:val="16"/>
        <w:szCs w:val="16"/>
      </w:rPr>
    </w:pPr>
    <w:r>
      <w:tab/>
    </w:r>
    <w:r>
      <w:tab/>
    </w:r>
  </w:p>
  <w:p w14:paraId="1B8E6ED7" w14:textId="77777777" w:rsidR="00D0024A" w:rsidRPr="00F85BF8" w:rsidRDefault="00D0024A" w:rsidP="00575B48">
    <w:pPr>
      <w:pStyle w:val="Footer"/>
      <w:rPr>
        <w:b/>
        <w:sz w:val="18"/>
        <w:szCs w:val="18"/>
      </w:rPr>
    </w:pPr>
    <w:r>
      <w:rPr>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6629" w14:textId="77777777" w:rsidR="00366637" w:rsidRDefault="003666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2450023"/>
      <w:docPartObj>
        <w:docPartGallery w:val="Page Numbers (Bottom of Page)"/>
        <w:docPartUnique/>
      </w:docPartObj>
    </w:sdtPr>
    <w:sdtEndPr>
      <w:rPr>
        <w:noProof/>
        <w:sz w:val="16"/>
        <w:szCs w:val="16"/>
      </w:rPr>
    </w:sdtEndPr>
    <w:sdtContent>
      <w:p w14:paraId="03076FCB" w14:textId="77777777" w:rsidR="00D0024A" w:rsidRPr="00505041" w:rsidRDefault="00D0024A">
        <w:pPr>
          <w:pStyle w:val="Footer"/>
          <w:jc w:val="right"/>
          <w:rPr>
            <w:sz w:val="16"/>
            <w:szCs w:val="16"/>
          </w:rPr>
        </w:pPr>
        <w:r w:rsidRPr="00505041">
          <w:rPr>
            <w:sz w:val="16"/>
            <w:szCs w:val="16"/>
          </w:rPr>
          <w:fldChar w:fldCharType="begin"/>
        </w:r>
        <w:r w:rsidRPr="00505041">
          <w:rPr>
            <w:sz w:val="16"/>
            <w:szCs w:val="16"/>
          </w:rPr>
          <w:instrText xml:space="preserve"> PAGE   \* MERGEFORMAT </w:instrText>
        </w:r>
        <w:r w:rsidRPr="00505041">
          <w:rPr>
            <w:sz w:val="16"/>
            <w:szCs w:val="16"/>
          </w:rPr>
          <w:fldChar w:fldCharType="separate"/>
        </w:r>
        <w:r>
          <w:rPr>
            <w:noProof/>
            <w:sz w:val="16"/>
            <w:szCs w:val="16"/>
          </w:rPr>
          <w:t>1</w:t>
        </w:r>
        <w:r w:rsidRPr="00505041">
          <w:rPr>
            <w:noProof/>
            <w:sz w:val="16"/>
            <w:szCs w:val="16"/>
          </w:rPr>
          <w:fldChar w:fldCharType="end"/>
        </w:r>
      </w:p>
    </w:sdtContent>
  </w:sdt>
  <w:p w14:paraId="4F5879CA" w14:textId="77777777" w:rsidR="00D0024A" w:rsidRDefault="00D0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CF201" w14:textId="77777777" w:rsidR="00810794" w:rsidRDefault="00810794">
      <w:pPr>
        <w:spacing w:after="0" w:line="240" w:lineRule="auto"/>
      </w:pPr>
      <w:r>
        <w:separator/>
      </w:r>
    </w:p>
  </w:footnote>
  <w:footnote w:type="continuationSeparator" w:id="0">
    <w:p w14:paraId="3021F3D5" w14:textId="77777777" w:rsidR="00810794" w:rsidRDefault="00810794">
      <w:pPr>
        <w:spacing w:after="0" w:line="240" w:lineRule="auto"/>
      </w:pPr>
      <w:r>
        <w:continuationSeparator/>
      </w:r>
    </w:p>
  </w:footnote>
  <w:footnote w:type="continuationNotice" w:id="1">
    <w:p w14:paraId="4888A7CC" w14:textId="77777777" w:rsidR="00810794" w:rsidRDefault="00810794">
      <w:pPr>
        <w:spacing w:after="0" w:line="240" w:lineRule="auto"/>
      </w:pPr>
    </w:p>
  </w:footnote>
  <w:footnote w:id="2">
    <w:p w14:paraId="29A66E7C" w14:textId="7428A381" w:rsidR="009417F6" w:rsidRDefault="009417F6">
      <w:pPr>
        <w:pStyle w:val="FootnoteText"/>
      </w:pPr>
      <w:r>
        <w:rPr>
          <w:rStyle w:val="FootnoteReference"/>
        </w:rPr>
        <w:footnoteRef/>
      </w:r>
      <w:r>
        <w:t xml:space="preserve"> </w:t>
      </w:r>
      <w:r w:rsidR="000E4CCE">
        <w:rPr>
          <w:i/>
          <w:iCs/>
        </w:rPr>
        <w:t>[Decision</w:t>
      </w:r>
      <w:r w:rsidR="00D61414">
        <w:rPr>
          <w:i/>
          <w:iCs/>
        </w:rPr>
        <w:t>]</w:t>
      </w:r>
      <w:r w:rsidR="00591BB7">
        <w:t>.</w:t>
      </w:r>
    </w:p>
  </w:footnote>
  <w:footnote w:id="3">
    <w:p w14:paraId="14C536DF" w14:textId="5FB14743" w:rsidR="00EF713E" w:rsidRDefault="00EF713E">
      <w:pPr>
        <w:pStyle w:val="FootnoteText"/>
      </w:pPr>
      <w:r>
        <w:rPr>
          <w:rStyle w:val="FootnoteReference"/>
        </w:rPr>
        <w:footnoteRef/>
      </w:r>
      <w:r>
        <w:t xml:space="preserve"> This is quoted verbatim.  The </w:t>
      </w:r>
      <w:r w:rsidR="005351F3">
        <w:t>[month]</w:t>
      </w:r>
      <w:r>
        <w:t xml:space="preserve"> dates in para 8 of the Summary of Facts all refer to </w:t>
      </w:r>
      <w:r w:rsidR="005351F3">
        <w:t>[year]</w:t>
      </w:r>
      <w:r>
        <w:t>.</w:t>
      </w:r>
    </w:p>
  </w:footnote>
  <w:footnote w:id="4">
    <w:p w14:paraId="17EA7F70" w14:textId="0C67AD3A" w:rsidR="00975FA9" w:rsidRDefault="00975FA9">
      <w:pPr>
        <w:pStyle w:val="FootnoteText"/>
      </w:pPr>
      <w:r>
        <w:rPr>
          <w:rStyle w:val="FootnoteReference"/>
        </w:rPr>
        <w:footnoteRef/>
      </w:r>
      <w:r>
        <w:t xml:space="preserve"> S</w:t>
      </w:r>
      <w:r w:rsidR="00AB6C6F">
        <w:t>ummary of Facts at</w:t>
      </w:r>
      <w:r>
        <w:t xml:space="preserve"> [16].</w:t>
      </w:r>
    </w:p>
  </w:footnote>
  <w:footnote w:id="5">
    <w:p w14:paraId="354D26E9" w14:textId="70D424BA" w:rsidR="00591BB7" w:rsidRDefault="00591BB7">
      <w:pPr>
        <w:pStyle w:val="FootnoteText"/>
      </w:pPr>
      <w:r>
        <w:rPr>
          <w:rStyle w:val="FootnoteReference"/>
        </w:rPr>
        <w:footnoteRef/>
      </w:r>
      <w:r>
        <w:t xml:space="preserve"> n1 at [147].</w:t>
      </w:r>
    </w:p>
  </w:footnote>
  <w:footnote w:id="6">
    <w:p w14:paraId="17EC7CAE" w14:textId="1BD2C9F2" w:rsidR="00765DB8" w:rsidRPr="00765DB8" w:rsidRDefault="00765DB8">
      <w:pPr>
        <w:pStyle w:val="FootnoteText"/>
        <w:rPr>
          <w:lang w:val="mi-NZ"/>
        </w:rPr>
      </w:pPr>
      <w:r>
        <w:rPr>
          <w:rStyle w:val="FootnoteReference"/>
        </w:rPr>
        <w:footnoteRef/>
      </w:r>
      <w:r>
        <w:t xml:space="preserve"> </w:t>
      </w:r>
      <w:r w:rsidRPr="003D2FF0">
        <w:rPr>
          <w:i/>
          <w:iCs/>
          <w:lang w:val="mi-NZ"/>
        </w:rPr>
        <w:t>PCC v Hanley</w:t>
      </w:r>
      <w:r>
        <w:rPr>
          <w:lang w:val="mi-NZ"/>
        </w:rPr>
        <w:t xml:space="preserve"> RSW10/D1/SWDT 2020</w:t>
      </w:r>
    </w:p>
  </w:footnote>
  <w:footnote w:id="7">
    <w:p w14:paraId="2CBE83F0" w14:textId="449304C4" w:rsidR="00CC229D" w:rsidRDefault="00CC229D">
      <w:pPr>
        <w:pStyle w:val="FootnoteText"/>
      </w:pPr>
      <w:r>
        <w:rPr>
          <w:rStyle w:val="FootnoteReference"/>
        </w:rPr>
        <w:footnoteRef/>
      </w:r>
      <w:r>
        <w:t xml:space="preserve"> At [5].</w:t>
      </w:r>
    </w:p>
  </w:footnote>
  <w:footnote w:id="8">
    <w:p w14:paraId="5744AEBB" w14:textId="73E98D78" w:rsidR="00BE5578" w:rsidRDefault="00BE5578">
      <w:pPr>
        <w:pStyle w:val="FootnoteText"/>
      </w:pPr>
      <w:r>
        <w:rPr>
          <w:rStyle w:val="FootnoteReference"/>
        </w:rPr>
        <w:footnoteRef/>
      </w:r>
      <w:r>
        <w:t xml:space="preserve"> Professional Conduct Committee Report dated 28 April 2023 at [1].</w:t>
      </w:r>
    </w:p>
  </w:footnote>
  <w:footnote w:id="9">
    <w:p w14:paraId="64DA1981" w14:textId="33FAA496" w:rsidR="000B5B1F" w:rsidRDefault="000B5B1F">
      <w:pPr>
        <w:pStyle w:val="FootnoteText"/>
      </w:pPr>
      <w:r>
        <w:rPr>
          <w:rStyle w:val="FootnoteReference"/>
        </w:rPr>
        <w:footnoteRef/>
      </w:r>
      <w:r>
        <w:t xml:space="preserve"> </w:t>
      </w:r>
      <w:r w:rsidR="00EF713E">
        <w:t>n7</w:t>
      </w:r>
      <w:r>
        <w:t xml:space="preserve"> at [8].</w:t>
      </w:r>
    </w:p>
  </w:footnote>
  <w:footnote w:id="10">
    <w:p w14:paraId="21443E74" w14:textId="017DABDF" w:rsidR="000B5B1F" w:rsidRDefault="000B5B1F">
      <w:pPr>
        <w:pStyle w:val="FootnoteText"/>
      </w:pPr>
      <w:r>
        <w:rPr>
          <w:rStyle w:val="FootnoteReference"/>
        </w:rPr>
        <w:footnoteRef/>
      </w:r>
      <w:r>
        <w:t xml:space="preserve"> </w:t>
      </w:r>
      <w:r w:rsidR="00EF713E">
        <w:t>n7</w:t>
      </w:r>
      <w:r>
        <w:t xml:space="preserve"> at [4]</w:t>
      </w:r>
      <w:r w:rsidR="00EF713E">
        <w:t>.</w:t>
      </w:r>
    </w:p>
  </w:footnote>
  <w:footnote w:id="11">
    <w:p w14:paraId="15BA6C10" w14:textId="1589FBF6" w:rsidR="006A2A3C" w:rsidRDefault="006A2A3C">
      <w:pPr>
        <w:pStyle w:val="FootnoteText"/>
      </w:pPr>
      <w:r>
        <w:rPr>
          <w:rStyle w:val="FootnoteReference"/>
        </w:rPr>
        <w:footnoteRef/>
      </w:r>
      <w:r>
        <w:t xml:space="preserve"> </w:t>
      </w:r>
      <w:r w:rsidRPr="004D2089">
        <w:rPr>
          <w:i/>
          <w:iCs/>
        </w:rPr>
        <w:t>Roberts v Professional Conduct Committee of the Nursing Council</w:t>
      </w:r>
      <w:r>
        <w:t xml:space="preserve"> [2012] NZHC 3354 at [41] – [51].</w:t>
      </w:r>
    </w:p>
  </w:footnote>
  <w:footnote w:id="12">
    <w:p w14:paraId="2F07E1D1" w14:textId="2F2A938C" w:rsidR="00EB0D82" w:rsidRDefault="00EB0D82">
      <w:pPr>
        <w:pStyle w:val="FootnoteText"/>
      </w:pPr>
      <w:r>
        <w:rPr>
          <w:rStyle w:val="FootnoteReference"/>
        </w:rPr>
        <w:footnoteRef/>
      </w:r>
      <w:r>
        <w:t xml:space="preserve"> HPDT - 1353/Phar22/548P</w:t>
      </w:r>
    </w:p>
  </w:footnote>
  <w:footnote w:id="13">
    <w:p w14:paraId="228B080C" w14:textId="4B54FAA5" w:rsidR="00B04BD6" w:rsidRDefault="00B04BD6">
      <w:pPr>
        <w:pStyle w:val="FootnoteText"/>
      </w:pPr>
      <w:r>
        <w:rPr>
          <w:rStyle w:val="FootnoteReference"/>
        </w:rPr>
        <w:footnoteRef/>
      </w:r>
      <w:r>
        <w:t xml:space="preserve"> Respondent’s affidavit at [22]</w:t>
      </w:r>
      <w:r w:rsidR="00AE0C7A">
        <w:t>.</w:t>
      </w:r>
    </w:p>
  </w:footnote>
  <w:footnote w:id="14">
    <w:p w14:paraId="1408898F" w14:textId="05441702" w:rsidR="00A0726B" w:rsidRDefault="00A0726B">
      <w:pPr>
        <w:pStyle w:val="FootnoteText"/>
      </w:pPr>
      <w:r>
        <w:rPr>
          <w:rStyle w:val="FootnoteReference"/>
        </w:rPr>
        <w:footnoteRef/>
      </w:r>
      <w:r>
        <w:t xml:space="preserve"> </w:t>
      </w:r>
      <w:r w:rsidRPr="004D2089">
        <w:rPr>
          <w:i/>
          <w:iCs/>
        </w:rPr>
        <w:t>Professional Conduct Committee v Dy</w:t>
      </w:r>
      <w:r>
        <w:t xml:space="preserve"> [2018] HPDT 963/Nur17/401P; </w:t>
      </w:r>
      <w:r w:rsidRPr="004D2089">
        <w:rPr>
          <w:i/>
          <w:iCs/>
        </w:rPr>
        <w:t>Professional Conduct Committee v Hugill</w:t>
      </w:r>
      <w:r>
        <w:t xml:space="preserve"> [2020] HPDT 1114/Nur20/468P.</w:t>
      </w:r>
    </w:p>
  </w:footnote>
  <w:footnote w:id="15">
    <w:p w14:paraId="1D044A1E" w14:textId="5C3D82B1" w:rsidR="00232194" w:rsidRDefault="00232194">
      <w:pPr>
        <w:pStyle w:val="FootnoteText"/>
      </w:pPr>
      <w:r>
        <w:rPr>
          <w:rStyle w:val="FootnoteReference"/>
        </w:rPr>
        <w:footnoteRef/>
      </w:r>
      <w:r>
        <w:t xml:space="preserve"> </w:t>
      </w:r>
      <w:r w:rsidRPr="00B36B5A">
        <w:rPr>
          <w:i/>
          <w:iCs/>
        </w:rPr>
        <w:t>Professional Conduct Committee v Luisi</w:t>
      </w:r>
      <w:r>
        <w:t xml:space="preserve"> </w:t>
      </w:r>
      <w:r w:rsidR="00B36B5A">
        <w:t>RSW3/SWDT2/2019</w:t>
      </w:r>
    </w:p>
  </w:footnote>
  <w:footnote w:id="16">
    <w:p w14:paraId="23978C3E" w14:textId="678DAF41" w:rsidR="00B36B5A" w:rsidRDefault="00B36B5A">
      <w:pPr>
        <w:pStyle w:val="FootnoteText"/>
      </w:pPr>
      <w:r>
        <w:rPr>
          <w:rStyle w:val="FootnoteReference"/>
        </w:rPr>
        <w:footnoteRef/>
      </w:r>
      <w:r>
        <w:t xml:space="preserve"> </w:t>
      </w:r>
      <w:r w:rsidRPr="00B36B5A">
        <w:rPr>
          <w:i/>
          <w:iCs/>
        </w:rPr>
        <w:t>Director of Proceedings v Crozier</w:t>
      </w:r>
      <w:r>
        <w:t xml:space="preserve"> 1359/Ost23/578D, 14 June 2023; </w:t>
      </w:r>
      <w:r w:rsidRPr="00B36B5A">
        <w:rPr>
          <w:i/>
          <w:iCs/>
        </w:rPr>
        <w:t>Professional Conduct Committee v Lal</w:t>
      </w:r>
      <w:r>
        <w:t xml:space="preserve"> 1294/Nur22/566P 25 January 2023 and </w:t>
      </w:r>
      <w:r w:rsidRPr="00B36B5A">
        <w:rPr>
          <w:i/>
          <w:iCs/>
        </w:rPr>
        <w:t>Professional Conduct Committee v Ms S</w:t>
      </w:r>
      <w:r>
        <w:t xml:space="preserve"> 1295/Nur22/543P, 8 March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8D6E" w14:textId="77777777" w:rsidR="00366637" w:rsidRDefault="00366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61E44" w14:textId="423AEC71" w:rsidR="00366637" w:rsidRDefault="00366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7D671" w14:textId="77777777" w:rsidR="00366637" w:rsidRDefault="00366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1CBCE1D0"/>
    <w:lvl w:ilvl="0">
      <w:start w:val="1"/>
      <w:numFmt w:val="decimal"/>
      <w:lvlText w:val="%1."/>
      <w:lvlJc w:val="left"/>
      <w:pPr>
        <w:tabs>
          <w:tab w:val="num" w:pos="1209"/>
        </w:tabs>
        <w:ind w:left="1209" w:hanging="360"/>
      </w:pPr>
      <w:rPr>
        <w:rFonts w:ascii="Arial" w:hAnsi="Arial" w:cs="Arial"/>
        <w:color w:val="000000"/>
        <w:sz w:val="21"/>
      </w:rPr>
    </w:lvl>
  </w:abstractNum>
  <w:abstractNum w:abstractNumId="1" w15:restartNumberingAfterBreak="0">
    <w:nsid w:val="FFFFFF7E"/>
    <w:multiLevelType w:val="singleLevel"/>
    <w:tmpl w:val="8850D752"/>
    <w:lvl w:ilvl="0">
      <w:start w:val="1"/>
      <w:numFmt w:val="decimal"/>
      <w:lvlText w:val="%1."/>
      <w:lvlJc w:val="left"/>
      <w:pPr>
        <w:tabs>
          <w:tab w:val="num" w:pos="926"/>
        </w:tabs>
        <w:ind w:left="926" w:hanging="360"/>
      </w:pPr>
      <w:rPr>
        <w:rFonts w:ascii="Arial" w:hAnsi="Arial" w:cs="Arial"/>
        <w:color w:val="000000"/>
        <w:sz w:val="21"/>
      </w:rPr>
    </w:lvl>
  </w:abstractNum>
  <w:abstractNum w:abstractNumId="2" w15:restartNumberingAfterBreak="0">
    <w:nsid w:val="FFFFFF7F"/>
    <w:multiLevelType w:val="singleLevel"/>
    <w:tmpl w:val="FAD0BD10"/>
    <w:lvl w:ilvl="0">
      <w:start w:val="1"/>
      <w:numFmt w:val="decimal"/>
      <w:lvlText w:val="%1."/>
      <w:lvlJc w:val="left"/>
      <w:pPr>
        <w:tabs>
          <w:tab w:val="num" w:pos="643"/>
        </w:tabs>
        <w:ind w:left="643" w:hanging="360"/>
      </w:pPr>
      <w:rPr>
        <w:rFonts w:ascii="Arial" w:hAnsi="Arial" w:cs="Arial"/>
        <w:color w:val="000000"/>
        <w:sz w:val="21"/>
      </w:rPr>
    </w:lvl>
  </w:abstractNum>
  <w:abstractNum w:abstractNumId="3" w15:restartNumberingAfterBreak="0">
    <w:nsid w:val="FFFFFF88"/>
    <w:multiLevelType w:val="singleLevel"/>
    <w:tmpl w:val="88326A82"/>
    <w:lvl w:ilvl="0">
      <w:start w:val="1"/>
      <w:numFmt w:val="decimal"/>
      <w:lvlText w:val="%1."/>
      <w:lvlJc w:val="left"/>
      <w:pPr>
        <w:tabs>
          <w:tab w:val="num" w:pos="360"/>
        </w:tabs>
        <w:ind w:left="360" w:hanging="360"/>
      </w:pPr>
      <w:rPr>
        <w:rFonts w:ascii="Arial" w:hAnsi="Arial" w:cs="Arial"/>
        <w:color w:val="000000"/>
        <w:sz w:val="21"/>
      </w:rPr>
    </w:lvl>
  </w:abstractNum>
  <w:abstractNum w:abstractNumId="4" w15:restartNumberingAfterBreak="0">
    <w:nsid w:val="FFFFFFFB"/>
    <w:multiLevelType w:val="multilevel"/>
    <w:tmpl w:val="926CAD24"/>
    <w:lvl w:ilvl="0">
      <w:start w:val="1"/>
      <w:numFmt w:val="none"/>
      <w:suff w:val="nothing"/>
      <w:lvlText w:val=""/>
      <w:lvlJc w:val="left"/>
      <w:pPr>
        <w:ind w:left="0" w:hanging="720"/>
      </w:pPr>
      <w:rPr>
        <w:rFonts w:ascii="Arial" w:hAnsi="Arial" w:cs="Arial" w:hint="default"/>
        <w:b w:val="0"/>
        <w:i w:val="0"/>
        <w:color w:val="000000"/>
        <w:sz w:val="21"/>
        <w:u w:val="none"/>
      </w:rPr>
    </w:lvl>
    <w:lvl w:ilvl="1">
      <w:start w:val="1"/>
      <w:numFmt w:val="decimal"/>
      <w:lvlText w:val="%2.0"/>
      <w:lvlJc w:val="left"/>
      <w:pPr>
        <w:tabs>
          <w:tab w:val="num" w:pos="720"/>
        </w:tabs>
        <w:ind w:left="720" w:hanging="720"/>
      </w:pPr>
      <w:rPr>
        <w:rFonts w:ascii="Arial" w:hAnsi="Arial" w:cs="Arial" w:hint="default"/>
        <w:b w:val="0"/>
        <w:i w:val="0"/>
        <w:strike w:val="0"/>
        <w:color w:val="000000"/>
        <w:sz w:val="21"/>
      </w:rPr>
    </w:lvl>
    <w:lvl w:ilvl="2">
      <w:start w:val="1"/>
      <w:numFmt w:val="decimal"/>
      <w:lvlText w:val="%2.%3"/>
      <w:lvlJc w:val="left"/>
      <w:pPr>
        <w:tabs>
          <w:tab w:val="num" w:pos="720"/>
        </w:tabs>
        <w:ind w:left="720" w:hanging="720"/>
      </w:pPr>
      <w:rPr>
        <w:rFonts w:ascii="Arial" w:hAnsi="Arial" w:cs="Arial" w:hint="default"/>
        <w:b w:val="0"/>
        <w:i w:val="0"/>
        <w:color w:val="000000"/>
        <w:sz w:val="21"/>
      </w:rPr>
    </w:lvl>
    <w:lvl w:ilvl="3">
      <w:start w:val="1"/>
      <w:numFmt w:val="lowerLetter"/>
      <w:lvlText w:val="(%4)"/>
      <w:lvlJc w:val="left"/>
      <w:pPr>
        <w:tabs>
          <w:tab w:val="num" w:pos="1440"/>
        </w:tabs>
        <w:ind w:left="1440" w:hanging="720"/>
      </w:pPr>
      <w:rPr>
        <w:rFonts w:ascii="Arial" w:hAnsi="Arial" w:cs="Arial" w:hint="default"/>
        <w:b w:val="0"/>
        <w:i w:val="0"/>
        <w:color w:val="000000"/>
        <w:sz w:val="21"/>
      </w:rPr>
    </w:lvl>
    <w:lvl w:ilvl="4">
      <w:start w:val="1"/>
      <w:numFmt w:val="lowerRoman"/>
      <w:lvlText w:val="(%5)"/>
      <w:lvlJc w:val="left"/>
      <w:pPr>
        <w:tabs>
          <w:tab w:val="num" w:pos="2160"/>
        </w:tabs>
        <w:ind w:left="2160" w:hanging="720"/>
      </w:pPr>
      <w:rPr>
        <w:rFonts w:ascii="Arial" w:hAnsi="Arial" w:cs="Arial" w:hint="default"/>
        <w:b w:val="0"/>
        <w:i w:val="0"/>
        <w:color w:val="000000"/>
        <w:sz w:val="21"/>
      </w:rPr>
    </w:lvl>
    <w:lvl w:ilvl="5">
      <w:start w:val="1"/>
      <w:numFmt w:val="decimal"/>
      <w:lvlText w:val="(%5)%6."/>
      <w:lvlJc w:val="left"/>
      <w:pPr>
        <w:tabs>
          <w:tab w:val="num" w:pos="4308"/>
        </w:tabs>
        <w:ind w:left="4308" w:hanging="708"/>
      </w:pPr>
      <w:rPr>
        <w:rFonts w:ascii="Arial" w:hAnsi="Arial" w:cs="Arial"/>
        <w:color w:val="000000"/>
        <w:sz w:val="21"/>
      </w:rPr>
    </w:lvl>
    <w:lvl w:ilvl="6">
      <w:start w:val="1"/>
      <w:numFmt w:val="decimal"/>
      <w:lvlText w:val="(%5)%6.%7."/>
      <w:lvlJc w:val="left"/>
      <w:pPr>
        <w:tabs>
          <w:tab w:val="num" w:pos="0"/>
        </w:tabs>
        <w:ind w:left="5016" w:hanging="708"/>
      </w:pPr>
      <w:rPr>
        <w:rFonts w:ascii="Arial" w:hAnsi="Arial" w:cs="Arial"/>
        <w:color w:val="000000"/>
        <w:sz w:val="21"/>
      </w:rPr>
    </w:lvl>
    <w:lvl w:ilvl="7">
      <w:start w:val="1"/>
      <w:numFmt w:val="decimal"/>
      <w:lvlText w:val="(%5)%6.%7.%8."/>
      <w:lvlJc w:val="left"/>
      <w:pPr>
        <w:tabs>
          <w:tab w:val="num" w:pos="0"/>
        </w:tabs>
        <w:ind w:left="5724" w:hanging="708"/>
      </w:pPr>
      <w:rPr>
        <w:rFonts w:ascii="Arial" w:hAnsi="Arial" w:cs="Arial"/>
        <w:color w:val="000000"/>
        <w:sz w:val="21"/>
      </w:rPr>
    </w:lvl>
    <w:lvl w:ilvl="8">
      <w:start w:val="1"/>
      <w:numFmt w:val="decimal"/>
      <w:lvlText w:val="(%5)%6.%7.%8.%9."/>
      <w:lvlJc w:val="left"/>
      <w:pPr>
        <w:tabs>
          <w:tab w:val="num" w:pos="0"/>
        </w:tabs>
        <w:ind w:left="6432" w:hanging="708"/>
      </w:pPr>
      <w:rPr>
        <w:rFonts w:ascii="Arial" w:hAnsi="Arial" w:cs="Arial"/>
        <w:color w:val="000000"/>
        <w:sz w:val="21"/>
      </w:rPr>
    </w:lvl>
  </w:abstractNum>
  <w:abstractNum w:abstractNumId="5" w15:restartNumberingAfterBreak="0">
    <w:nsid w:val="04247F18"/>
    <w:multiLevelType w:val="hybridMultilevel"/>
    <w:tmpl w:val="D39EFE0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B167F7D"/>
    <w:multiLevelType w:val="multilevel"/>
    <w:tmpl w:val="43903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231A9A"/>
    <w:multiLevelType w:val="multilevel"/>
    <w:tmpl w:val="6180E9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CE01DE0"/>
    <w:multiLevelType w:val="hybridMultilevel"/>
    <w:tmpl w:val="2C065A3C"/>
    <w:lvl w:ilvl="0" w:tplc="A998D746">
      <w:start w:val="1"/>
      <w:numFmt w:val="upperLetter"/>
      <w:lvlText w:val="%1."/>
      <w:lvlJc w:val="left"/>
      <w:pPr>
        <w:ind w:left="1800" w:hanging="360"/>
      </w:pPr>
      <w:rPr>
        <w:rFonts w:hint="default"/>
        <w:b w:val="0"/>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9" w15:restartNumberingAfterBreak="0">
    <w:nsid w:val="41B912E4"/>
    <w:multiLevelType w:val="hybridMultilevel"/>
    <w:tmpl w:val="209C5C6A"/>
    <w:lvl w:ilvl="0" w:tplc="75603F0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6295F87"/>
    <w:multiLevelType w:val="hybridMultilevel"/>
    <w:tmpl w:val="2A28B8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6C33A40"/>
    <w:multiLevelType w:val="hybridMultilevel"/>
    <w:tmpl w:val="85F45D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A4C5D14"/>
    <w:multiLevelType w:val="multilevel"/>
    <w:tmpl w:val="4AFE55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1606387"/>
    <w:multiLevelType w:val="hybridMultilevel"/>
    <w:tmpl w:val="5AC003AE"/>
    <w:lvl w:ilvl="0" w:tplc="6CB0FFAA">
      <w:start w:val="1"/>
      <w:numFmt w:val="lowerLetter"/>
      <w:lvlText w:val="%1."/>
      <w:lvlJc w:val="left"/>
      <w:pPr>
        <w:ind w:left="1080" w:hanging="360"/>
      </w:pPr>
      <w:rPr>
        <w:rFonts w:ascii="Arial" w:hAnsi="Arial" w:cs="Arial" w:hint="default"/>
        <w:sz w:val="20"/>
        <w:szCs w:val="16"/>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6C560F1"/>
    <w:multiLevelType w:val="multilevel"/>
    <w:tmpl w:val="F2A4002E"/>
    <w:lvl w:ilvl="0">
      <w:start w:val="1"/>
      <w:numFmt w:val="none"/>
      <w:pStyle w:val="Heading1"/>
      <w:suff w:val="nothing"/>
      <w:lvlText w:val=""/>
      <w:lvlJc w:val="left"/>
      <w:pPr>
        <w:ind w:left="0" w:hanging="720"/>
      </w:pPr>
      <w:rPr>
        <w:rFonts w:ascii="Arial" w:hAnsi="Arial" w:cs="Arial" w:hint="default"/>
        <w:b w:val="0"/>
        <w:i w:val="0"/>
        <w:color w:val="000000"/>
        <w:sz w:val="21"/>
        <w:u w:val="none"/>
      </w:rPr>
    </w:lvl>
    <w:lvl w:ilvl="1">
      <w:start w:val="1"/>
      <w:numFmt w:val="decimal"/>
      <w:pStyle w:val="Heading2"/>
      <w:lvlText w:val="%2."/>
      <w:lvlJc w:val="left"/>
      <w:pPr>
        <w:tabs>
          <w:tab w:val="num" w:pos="720"/>
        </w:tabs>
        <w:ind w:left="720" w:hanging="720"/>
      </w:pPr>
      <w:rPr>
        <w:rFonts w:ascii="Arial" w:hAnsi="Arial" w:cs="Arial" w:hint="default"/>
        <w:b w:val="0"/>
        <w:i w:val="0"/>
        <w:strike w:val="0"/>
        <w:color w:val="000000"/>
        <w:sz w:val="21"/>
      </w:rPr>
    </w:lvl>
    <w:lvl w:ilvl="2">
      <w:start w:val="1"/>
      <w:numFmt w:val="decimal"/>
      <w:pStyle w:val="Heading3"/>
      <w:lvlText w:val="%2.%3"/>
      <w:lvlJc w:val="left"/>
      <w:pPr>
        <w:tabs>
          <w:tab w:val="num" w:pos="1440"/>
        </w:tabs>
        <w:ind w:left="1440" w:hanging="720"/>
      </w:pPr>
      <w:rPr>
        <w:rFonts w:ascii="Arial" w:hAnsi="Arial" w:cs="Arial" w:hint="default"/>
        <w:b w:val="0"/>
        <w:i w:val="0"/>
        <w:color w:val="000000"/>
        <w:sz w:val="21"/>
      </w:rPr>
    </w:lvl>
    <w:lvl w:ilvl="3">
      <w:start w:val="1"/>
      <w:numFmt w:val="decimal"/>
      <w:pStyle w:val="Heading4"/>
      <w:lvlText w:val="%2.%3.%4"/>
      <w:lvlJc w:val="left"/>
      <w:pPr>
        <w:tabs>
          <w:tab w:val="num" w:pos="2160"/>
        </w:tabs>
        <w:ind w:left="2160" w:hanging="720"/>
      </w:pPr>
      <w:rPr>
        <w:rFonts w:ascii="Arial" w:hAnsi="Arial" w:cs="Arial" w:hint="default"/>
        <w:b w:val="0"/>
        <w:i w:val="0"/>
        <w:color w:val="000000"/>
        <w:sz w:val="21"/>
      </w:rPr>
    </w:lvl>
    <w:lvl w:ilvl="4">
      <w:start w:val="1"/>
      <w:numFmt w:val="lowerLetter"/>
      <w:pStyle w:val="Heading5"/>
      <w:lvlText w:val="(%5)"/>
      <w:lvlJc w:val="left"/>
      <w:pPr>
        <w:tabs>
          <w:tab w:val="num" w:pos="2880"/>
        </w:tabs>
        <w:ind w:left="2880" w:hanging="720"/>
      </w:pPr>
      <w:rPr>
        <w:rFonts w:ascii="Arial" w:hAnsi="Arial" w:cs="Arial" w:hint="default"/>
        <w:b w:val="0"/>
        <w:i w:val="0"/>
        <w:color w:val="000000"/>
        <w:sz w:val="21"/>
      </w:rPr>
    </w:lvl>
    <w:lvl w:ilvl="5">
      <w:start w:val="1"/>
      <w:numFmt w:val="lowerRoman"/>
      <w:pStyle w:val="Heading6"/>
      <w:lvlText w:val="(%6)"/>
      <w:lvlJc w:val="left"/>
      <w:pPr>
        <w:tabs>
          <w:tab w:val="num" w:pos="4308"/>
        </w:tabs>
        <w:ind w:left="4308" w:hanging="708"/>
      </w:pPr>
      <w:rPr>
        <w:rFonts w:ascii="Arial" w:hAnsi="Arial" w:cs="Arial" w:hint="default"/>
        <w:color w:val="000000"/>
        <w:sz w:val="21"/>
      </w:rPr>
    </w:lvl>
    <w:lvl w:ilvl="6">
      <w:start w:val="1"/>
      <w:numFmt w:val="decimal"/>
      <w:pStyle w:val="Heading7"/>
      <w:lvlText w:val="(%5)%6.%7."/>
      <w:lvlJc w:val="left"/>
      <w:pPr>
        <w:tabs>
          <w:tab w:val="num" w:pos="0"/>
        </w:tabs>
        <w:ind w:left="5016" w:hanging="708"/>
      </w:pPr>
      <w:rPr>
        <w:rFonts w:ascii="Arial" w:hAnsi="Arial" w:cs="Arial" w:hint="default"/>
        <w:color w:val="000000"/>
        <w:sz w:val="21"/>
      </w:rPr>
    </w:lvl>
    <w:lvl w:ilvl="7">
      <w:start w:val="1"/>
      <w:numFmt w:val="decimal"/>
      <w:pStyle w:val="Heading8"/>
      <w:lvlText w:val="(%5)%6.%7.%8."/>
      <w:lvlJc w:val="left"/>
      <w:pPr>
        <w:tabs>
          <w:tab w:val="num" w:pos="0"/>
        </w:tabs>
        <w:ind w:left="5724" w:hanging="708"/>
      </w:pPr>
      <w:rPr>
        <w:rFonts w:ascii="Arial" w:hAnsi="Arial" w:cs="Arial" w:hint="default"/>
        <w:color w:val="000000"/>
        <w:sz w:val="21"/>
      </w:rPr>
    </w:lvl>
    <w:lvl w:ilvl="8">
      <w:start w:val="1"/>
      <w:numFmt w:val="decimal"/>
      <w:pStyle w:val="Heading9"/>
      <w:lvlText w:val="(%5)%6.%7.%8.%9."/>
      <w:lvlJc w:val="left"/>
      <w:pPr>
        <w:tabs>
          <w:tab w:val="num" w:pos="0"/>
        </w:tabs>
        <w:ind w:left="6432" w:hanging="708"/>
      </w:pPr>
      <w:rPr>
        <w:rFonts w:ascii="Arial" w:hAnsi="Arial" w:cs="Arial" w:hint="default"/>
        <w:color w:val="000000"/>
        <w:sz w:val="21"/>
      </w:rPr>
    </w:lvl>
  </w:abstractNum>
  <w:abstractNum w:abstractNumId="15" w15:restartNumberingAfterBreak="0">
    <w:nsid w:val="690107DD"/>
    <w:multiLevelType w:val="hybridMultilevel"/>
    <w:tmpl w:val="1D1060EA"/>
    <w:lvl w:ilvl="0" w:tplc="1409000F">
      <w:start w:val="1"/>
      <w:numFmt w:val="decimal"/>
      <w:lvlText w:val="%1."/>
      <w:lvlJc w:val="left"/>
      <w:pPr>
        <w:ind w:left="72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1E57D6"/>
    <w:multiLevelType w:val="multilevel"/>
    <w:tmpl w:val="F8882D8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0D26C3D"/>
    <w:multiLevelType w:val="hybridMultilevel"/>
    <w:tmpl w:val="9EC6A6B8"/>
    <w:lvl w:ilvl="0" w:tplc="8472A606">
      <w:start w:val="1"/>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29A486C"/>
    <w:multiLevelType w:val="hybridMultilevel"/>
    <w:tmpl w:val="11543B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2F14D86"/>
    <w:multiLevelType w:val="multilevel"/>
    <w:tmpl w:val="C868D9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FCE5ECA"/>
    <w:multiLevelType w:val="hybridMultilevel"/>
    <w:tmpl w:val="84C26EE0"/>
    <w:lvl w:ilvl="0" w:tplc="2B2EDCD6">
      <w:start w:val="1"/>
      <w:numFmt w:val="decimal"/>
      <w:lvlText w:val="%1."/>
      <w:lvlJc w:val="left"/>
      <w:pPr>
        <w:ind w:left="1800" w:hanging="360"/>
      </w:pPr>
      <w:rPr>
        <w:rFonts w:hint="default"/>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804687573">
    <w:abstractNumId w:val="4"/>
  </w:num>
  <w:num w:numId="2" w16cid:durableId="158351817">
    <w:abstractNumId w:val="3"/>
  </w:num>
  <w:num w:numId="3" w16cid:durableId="501698790">
    <w:abstractNumId w:val="2"/>
  </w:num>
  <w:num w:numId="4" w16cid:durableId="1432705746">
    <w:abstractNumId w:val="1"/>
  </w:num>
  <w:num w:numId="5" w16cid:durableId="116024188">
    <w:abstractNumId w:val="0"/>
  </w:num>
  <w:num w:numId="6" w16cid:durableId="1024864702">
    <w:abstractNumId w:val="14"/>
  </w:num>
  <w:num w:numId="7" w16cid:durableId="113910495">
    <w:abstractNumId w:val="6"/>
  </w:num>
  <w:num w:numId="8" w16cid:durableId="91751749">
    <w:abstractNumId w:val="7"/>
  </w:num>
  <w:num w:numId="9" w16cid:durableId="1784878450">
    <w:abstractNumId w:val="12"/>
  </w:num>
  <w:num w:numId="10" w16cid:durableId="1532719943">
    <w:abstractNumId w:val="19"/>
  </w:num>
  <w:num w:numId="11" w16cid:durableId="774055621">
    <w:abstractNumId w:val="16"/>
  </w:num>
  <w:num w:numId="12" w16cid:durableId="1672952694">
    <w:abstractNumId w:val="13"/>
  </w:num>
  <w:num w:numId="13" w16cid:durableId="1342467748">
    <w:abstractNumId w:val="10"/>
  </w:num>
  <w:num w:numId="14" w16cid:durableId="442236985">
    <w:abstractNumId w:val="9"/>
  </w:num>
  <w:num w:numId="15" w16cid:durableId="1322470232">
    <w:abstractNumId w:val="17"/>
  </w:num>
  <w:num w:numId="16" w16cid:durableId="622884404">
    <w:abstractNumId w:val="5"/>
  </w:num>
  <w:num w:numId="17" w16cid:durableId="51275609">
    <w:abstractNumId w:val="18"/>
  </w:num>
  <w:num w:numId="18" w16cid:durableId="195586582">
    <w:abstractNumId w:val="15"/>
  </w:num>
  <w:num w:numId="19" w16cid:durableId="837581423">
    <w:abstractNumId w:val="8"/>
  </w:num>
  <w:num w:numId="20" w16cid:durableId="1463844469">
    <w:abstractNumId w:val="20"/>
  </w:num>
  <w:num w:numId="21" w16cid:durableId="1028986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724042"/>
    <w:docVar w:name="DocID" w:val="{BCC1FA24-9E13-4DF7-B633-9192A086A0E7}"/>
    <w:docVar w:name="DocumentNumber" w:val="58"/>
    <w:docVar w:name="DocumentType" w:val="3"/>
    <w:docVar w:name="FeeEarner" w:val="EMW"/>
    <w:docVar w:name="LibCatalogID" w:val="0"/>
    <w:docVar w:name="MatterDescription" w:val="Francesca Lynch - Prosecution"/>
    <w:docVar w:name="MatterNumber" w:val="24"/>
    <w:docVar w:name="NoFooter" w:val="-1"/>
    <w:docVar w:name="Numtype" w:val="1StyNum1"/>
    <w:docVar w:name="VersionID" w:val="{44F631AF-0197-476D-99B1-014A43FC3B3B}"/>
    <w:docVar w:name="WordOperator" w:val="EMW"/>
  </w:docVars>
  <w:rsids>
    <w:rsidRoot w:val="00D0024A"/>
    <w:rsid w:val="0000055F"/>
    <w:rsid w:val="000132F1"/>
    <w:rsid w:val="00022151"/>
    <w:rsid w:val="00022ACF"/>
    <w:rsid w:val="00042909"/>
    <w:rsid w:val="00076EED"/>
    <w:rsid w:val="000B5B1F"/>
    <w:rsid w:val="000B7F18"/>
    <w:rsid w:val="000C0438"/>
    <w:rsid w:val="000E0780"/>
    <w:rsid w:val="000E4CCE"/>
    <w:rsid w:val="000E6F7E"/>
    <w:rsid w:val="000F1F81"/>
    <w:rsid w:val="00126249"/>
    <w:rsid w:val="0013471D"/>
    <w:rsid w:val="00144C1C"/>
    <w:rsid w:val="00175045"/>
    <w:rsid w:val="00182B26"/>
    <w:rsid w:val="00182D59"/>
    <w:rsid w:val="001858F9"/>
    <w:rsid w:val="001A3F6F"/>
    <w:rsid w:val="001B3885"/>
    <w:rsid w:val="001B6E6D"/>
    <w:rsid w:val="001D5FB0"/>
    <w:rsid w:val="001D7C6C"/>
    <w:rsid w:val="001E16E9"/>
    <w:rsid w:val="00215DC5"/>
    <w:rsid w:val="00215E98"/>
    <w:rsid w:val="0022207D"/>
    <w:rsid w:val="00222E7E"/>
    <w:rsid w:val="00232194"/>
    <w:rsid w:val="00236EBD"/>
    <w:rsid w:val="002377C6"/>
    <w:rsid w:val="002412FA"/>
    <w:rsid w:val="0029790E"/>
    <w:rsid w:val="002A0967"/>
    <w:rsid w:val="002A5B24"/>
    <w:rsid w:val="002A5B32"/>
    <w:rsid w:val="00301B1A"/>
    <w:rsid w:val="003109D3"/>
    <w:rsid w:val="003171D1"/>
    <w:rsid w:val="0031758D"/>
    <w:rsid w:val="00325559"/>
    <w:rsid w:val="0033367A"/>
    <w:rsid w:val="00336E04"/>
    <w:rsid w:val="00352C4D"/>
    <w:rsid w:val="00366637"/>
    <w:rsid w:val="00382171"/>
    <w:rsid w:val="0038734E"/>
    <w:rsid w:val="00390A3A"/>
    <w:rsid w:val="003B0380"/>
    <w:rsid w:val="003D11E8"/>
    <w:rsid w:val="003D2FF0"/>
    <w:rsid w:val="003E64E0"/>
    <w:rsid w:val="003E7656"/>
    <w:rsid w:val="00401796"/>
    <w:rsid w:val="00405DF2"/>
    <w:rsid w:val="00405E4C"/>
    <w:rsid w:val="00414A11"/>
    <w:rsid w:val="004204AC"/>
    <w:rsid w:val="00426CCC"/>
    <w:rsid w:val="00431322"/>
    <w:rsid w:val="00441E88"/>
    <w:rsid w:val="00446B22"/>
    <w:rsid w:val="00453153"/>
    <w:rsid w:val="00474B46"/>
    <w:rsid w:val="004822C4"/>
    <w:rsid w:val="004835C6"/>
    <w:rsid w:val="004A05C8"/>
    <w:rsid w:val="004B1FB5"/>
    <w:rsid w:val="004D2089"/>
    <w:rsid w:val="004D524C"/>
    <w:rsid w:val="004D7872"/>
    <w:rsid w:val="004E04D0"/>
    <w:rsid w:val="004E3455"/>
    <w:rsid w:val="004F0565"/>
    <w:rsid w:val="005163CB"/>
    <w:rsid w:val="0051653A"/>
    <w:rsid w:val="005351F3"/>
    <w:rsid w:val="005415F6"/>
    <w:rsid w:val="00545F81"/>
    <w:rsid w:val="0055610E"/>
    <w:rsid w:val="00575B48"/>
    <w:rsid w:val="00581C08"/>
    <w:rsid w:val="00591BB7"/>
    <w:rsid w:val="005C0BCB"/>
    <w:rsid w:val="005D3A88"/>
    <w:rsid w:val="005F65DB"/>
    <w:rsid w:val="00656B94"/>
    <w:rsid w:val="00685700"/>
    <w:rsid w:val="006A2A3C"/>
    <w:rsid w:val="006A79EE"/>
    <w:rsid w:val="006B305E"/>
    <w:rsid w:val="006C0A7E"/>
    <w:rsid w:val="006D549A"/>
    <w:rsid w:val="00705F26"/>
    <w:rsid w:val="00716CD4"/>
    <w:rsid w:val="007244DA"/>
    <w:rsid w:val="00730BC4"/>
    <w:rsid w:val="00734E33"/>
    <w:rsid w:val="00753EDF"/>
    <w:rsid w:val="00765DB8"/>
    <w:rsid w:val="007877C2"/>
    <w:rsid w:val="00792830"/>
    <w:rsid w:val="007E0C75"/>
    <w:rsid w:val="007E6474"/>
    <w:rsid w:val="0080704F"/>
    <w:rsid w:val="00810794"/>
    <w:rsid w:val="00825987"/>
    <w:rsid w:val="00826A3C"/>
    <w:rsid w:val="00826D9A"/>
    <w:rsid w:val="00834790"/>
    <w:rsid w:val="0083614A"/>
    <w:rsid w:val="00847F5B"/>
    <w:rsid w:val="00855A55"/>
    <w:rsid w:val="008616A2"/>
    <w:rsid w:val="00870622"/>
    <w:rsid w:val="0088553A"/>
    <w:rsid w:val="008A0E02"/>
    <w:rsid w:val="008A131A"/>
    <w:rsid w:val="008A7AA4"/>
    <w:rsid w:val="008B23D5"/>
    <w:rsid w:val="008B3376"/>
    <w:rsid w:val="008D240F"/>
    <w:rsid w:val="009031CE"/>
    <w:rsid w:val="00907D49"/>
    <w:rsid w:val="00931661"/>
    <w:rsid w:val="00932647"/>
    <w:rsid w:val="00936445"/>
    <w:rsid w:val="009417F6"/>
    <w:rsid w:val="00942B80"/>
    <w:rsid w:val="00945D4E"/>
    <w:rsid w:val="00954C2C"/>
    <w:rsid w:val="009737AC"/>
    <w:rsid w:val="009753AB"/>
    <w:rsid w:val="00975FA9"/>
    <w:rsid w:val="00982750"/>
    <w:rsid w:val="0099746E"/>
    <w:rsid w:val="009B3DCA"/>
    <w:rsid w:val="009C4462"/>
    <w:rsid w:val="009F4C7D"/>
    <w:rsid w:val="00A065F6"/>
    <w:rsid w:val="00A0726B"/>
    <w:rsid w:val="00A23E8C"/>
    <w:rsid w:val="00A3515F"/>
    <w:rsid w:val="00A53C98"/>
    <w:rsid w:val="00A60443"/>
    <w:rsid w:val="00A732C7"/>
    <w:rsid w:val="00A87E47"/>
    <w:rsid w:val="00AA39A6"/>
    <w:rsid w:val="00AB6C6F"/>
    <w:rsid w:val="00AC6C72"/>
    <w:rsid w:val="00AD0988"/>
    <w:rsid w:val="00AD428E"/>
    <w:rsid w:val="00AD73C3"/>
    <w:rsid w:val="00AE0C7A"/>
    <w:rsid w:val="00B0064F"/>
    <w:rsid w:val="00B04BD6"/>
    <w:rsid w:val="00B05749"/>
    <w:rsid w:val="00B17621"/>
    <w:rsid w:val="00B23045"/>
    <w:rsid w:val="00B3055F"/>
    <w:rsid w:val="00B36B5A"/>
    <w:rsid w:val="00B43E1C"/>
    <w:rsid w:val="00B531BB"/>
    <w:rsid w:val="00B63AF2"/>
    <w:rsid w:val="00B724CE"/>
    <w:rsid w:val="00B93266"/>
    <w:rsid w:val="00BA30F5"/>
    <w:rsid w:val="00BC7EF8"/>
    <w:rsid w:val="00BE44E3"/>
    <w:rsid w:val="00BE5578"/>
    <w:rsid w:val="00BF19CD"/>
    <w:rsid w:val="00BF77AF"/>
    <w:rsid w:val="00C06AFB"/>
    <w:rsid w:val="00C17610"/>
    <w:rsid w:val="00C33D4D"/>
    <w:rsid w:val="00C340C5"/>
    <w:rsid w:val="00C358E9"/>
    <w:rsid w:val="00C602CA"/>
    <w:rsid w:val="00C6422B"/>
    <w:rsid w:val="00CA7076"/>
    <w:rsid w:val="00CB4776"/>
    <w:rsid w:val="00CC229D"/>
    <w:rsid w:val="00CC2FEC"/>
    <w:rsid w:val="00CD0F32"/>
    <w:rsid w:val="00CD7D7D"/>
    <w:rsid w:val="00CF3DC9"/>
    <w:rsid w:val="00CF698D"/>
    <w:rsid w:val="00CF7C86"/>
    <w:rsid w:val="00CF7FD5"/>
    <w:rsid w:val="00D0024A"/>
    <w:rsid w:val="00D00577"/>
    <w:rsid w:val="00D3704C"/>
    <w:rsid w:val="00D52926"/>
    <w:rsid w:val="00D61414"/>
    <w:rsid w:val="00DB5941"/>
    <w:rsid w:val="00DD2EDA"/>
    <w:rsid w:val="00DE22ED"/>
    <w:rsid w:val="00DE2489"/>
    <w:rsid w:val="00DE6DDF"/>
    <w:rsid w:val="00DF2D38"/>
    <w:rsid w:val="00DF34A7"/>
    <w:rsid w:val="00E0487B"/>
    <w:rsid w:val="00E12470"/>
    <w:rsid w:val="00E20A81"/>
    <w:rsid w:val="00E322CA"/>
    <w:rsid w:val="00E37EAC"/>
    <w:rsid w:val="00E4007B"/>
    <w:rsid w:val="00E6648E"/>
    <w:rsid w:val="00E74053"/>
    <w:rsid w:val="00E76DCF"/>
    <w:rsid w:val="00E82A89"/>
    <w:rsid w:val="00E856E8"/>
    <w:rsid w:val="00EA40A0"/>
    <w:rsid w:val="00EB0D82"/>
    <w:rsid w:val="00EB5421"/>
    <w:rsid w:val="00EC3835"/>
    <w:rsid w:val="00EC50C8"/>
    <w:rsid w:val="00ED1E01"/>
    <w:rsid w:val="00ED3BC9"/>
    <w:rsid w:val="00ED73C1"/>
    <w:rsid w:val="00EF17E4"/>
    <w:rsid w:val="00EF507E"/>
    <w:rsid w:val="00EF713E"/>
    <w:rsid w:val="00F35A24"/>
    <w:rsid w:val="00F57828"/>
    <w:rsid w:val="00F71B32"/>
    <w:rsid w:val="00F772F6"/>
    <w:rsid w:val="00F847EA"/>
    <w:rsid w:val="00FC6360"/>
    <w:rsid w:val="00FD4B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0DD87"/>
  <w15:docId w15:val="{D5AFC283-1C6B-4F63-8C79-F7E0B1D2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heme="minorBidi"/>
        <w:sz w:val="21"/>
        <w:szCs w:val="21"/>
        <w:lang w:val="en-N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4A"/>
    <w:pPr>
      <w:spacing w:after="160" w:line="259" w:lineRule="auto"/>
      <w:jc w:val="left"/>
    </w:pPr>
    <w:rPr>
      <w:rFonts w:asciiTheme="minorHAnsi" w:eastAsiaTheme="minorHAnsi" w:hAnsiTheme="minorHAnsi"/>
      <w:sz w:val="22"/>
      <w:szCs w:val="22"/>
    </w:rPr>
  </w:style>
  <w:style w:type="paragraph" w:styleId="Heading1">
    <w:name w:val="heading 1"/>
    <w:aliases w:val="Reset"/>
    <w:basedOn w:val="TabFormat"/>
    <w:next w:val="NoNumCrt"/>
    <w:link w:val="Heading1Char"/>
    <w:qFormat/>
    <w:rsid w:val="00441E88"/>
    <w:pPr>
      <w:numPr>
        <w:numId w:val="6"/>
      </w:numPr>
      <w:outlineLvl w:val="0"/>
    </w:pPr>
    <w:rPr>
      <w:vanish/>
      <w:color w:val="0000FF"/>
    </w:rPr>
  </w:style>
  <w:style w:type="paragraph" w:styleId="Heading2">
    <w:name w:val="heading 2"/>
    <w:aliases w:val="L1"/>
    <w:basedOn w:val="TabFormat"/>
    <w:next w:val="NoNum"/>
    <w:link w:val="Heading2Char"/>
    <w:qFormat/>
    <w:rsid w:val="00441E88"/>
    <w:pPr>
      <w:numPr>
        <w:ilvl w:val="1"/>
        <w:numId w:val="6"/>
      </w:numPr>
      <w:outlineLvl w:val="1"/>
    </w:pPr>
  </w:style>
  <w:style w:type="paragraph" w:styleId="Heading3">
    <w:name w:val="heading 3"/>
    <w:aliases w:val="L2"/>
    <w:basedOn w:val="TabFormat"/>
    <w:next w:val="NoNum"/>
    <w:link w:val="Heading3Char"/>
    <w:qFormat/>
    <w:rsid w:val="00441E88"/>
    <w:pPr>
      <w:numPr>
        <w:ilvl w:val="2"/>
        <w:numId w:val="6"/>
      </w:numPr>
      <w:outlineLvl w:val="2"/>
    </w:pPr>
  </w:style>
  <w:style w:type="paragraph" w:styleId="Heading4">
    <w:name w:val="heading 4"/>
    <w:aliases w:val="L3"/>
    <w:basedOn w:val="TabFormat"/>
    <w:next w:val="NoNum"/>
    <w:link w:val="Heading4Char"/>
    <w:qFormat/>
    <w:rsid w:val="00441E88"/>
    <w:pPr>
      <w:numPr>
        <w:ilvl w:val="3"/>
        <w:numId w:val="6"/>
      </w:numPr>
      <w:outlineLvl w:val="3"/>
    </w:pPr>
  </w:style>
  <w:style w:type="paragraph" w:styleId="Heading5">
    <w:name w:val="heading 5"/>
    <w:aliases w:val="L4"/>
    <w:basedOn w:val="TabFormat"/>
    <w:next w:val="NoNum"/>
    <w:link w:val="Heading5Char"/>
    <w:qFormat/>
    <w:rsid w:val="00441E88"/>
    <w:pPr>
      <w:numPr>
        <w:ilvl w:val="4"/>
        <w:numId w:val="6"/>
      </w:numPr>
      <w:outlineLvl w:val="4"/>
    </w:pPr>
  </w:style>
  <w:style w:type="paragraph" w:styleId="Heading6">
    <w:name w:val="heading 6"/>
    <w:aliases w:val="L5"/>
    <w:basedOn w:val="TabFormat"/>
    <w:next w:val="NoNum"/>
    <w:link w:val="Heading6Char"/>
    <w:qFormat/>
    <w:rsid w:val="00441E88"/>
    <w:pPr>
      <w:numPr>
        <w:ilvl w:val="5"/>
        <w:numId w:val="6"/>
      </w:numPr>
      <w:tabs>
        <w:tab w:val="clear" w:pos="4308"/>
        <w:tab w:val="left" w:pos="3600"/>
      </w:tabs>
      <w:ind w:left="3600" w:hanging="720"/>
      <w:outlineLvl w:val="5"/>
    </w:pPr>
  </w:style>
  <w:style w:type="paragraph" w:styleId="Heading7">
    <w:name w:val="heading 7"/>
    <w:basedOn w:val="TabFormat"/>
    <w:next w:val="NoNum"/>
    <w:link w:val="Heading7Char"/>
    <w:semiHidden/>
    <w:rsid w:val="00441E88"/>
    <w:pPr>
      <w:numPr>
        <w:ilvl w:val="6"/>
        <w:numId w:val="6"/>
      </w:numPr>
      <w:outlineLvl w:val="6"/>
    </w:pPr>
  </w:style>
  <w:style w:type="paragraph" w:styleId="Heading8">
    <w:name w:val="heading 8"/>
    <w:basedOn w:val="TabFormat"/>
    <w:next w:val="NoNum"/>
    <w:link w:val="Heading8Char"/>
    <w:semiHidden/>
    <w:rsid w:val="00441E88"/>
    <w:pPr>
      <w:numPr>
        <w:ilvl w:val="7"/>
        <w:numId w:val="6"/>
      </w:numPr>
      <w:outlineLvl w:val="7"/>
    </w:pPr>
  </w:style>
  <w:style w:type="paragraph" w:styleId="Heading9">
    <w:name w:val="heading 9"/>
    <w:basedOn w:val="TabFormat"/>
    <w:next w:val="NoNum"/>
    <w:link w:val="Heading9Char"/>
    <w:semiHidden/>
    <w:rsid w:val="00441E88"/>
    <w:pPr>
      <w:numPr>
        <w:ilvl w:val="8"/>
        <w:numId w:val="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semiHidden/>
    <w:rsid w:val="005C0BCB"/>
    <w:rPr>
      <w:i/>
      <w:iCs/>
    </w:rPr>
  </w:style>
  <w:style w:type="character" w:customStyle="1" w:styleId="Heading1Char">
    <w:name w:val="Heading 1 Char"/>
    <w:aliases w:val="Reset Char"/>
    <w:basedOn w:val="DefaultParagraphFont"/>
    <w:link w:val="Heading1"/>
    <w:rsid w:val="00441E88"/>
    <w:rPr>
      <w:rFonts w:eastAsia="Times New Roman" w:cs="Arial"/>
      <w:vanish/>
      <w:color w:val="0000FF"/>
      <w:szCs w:val="20"/>
    </w:rPr>
  </w:style>
  <w:style w:type="character" w:customStyle="1" w:styleId="Heading2Char">
    <w:name w:val="Heading 2 Char"/>
    <w:aliases w:val="L1 Char"/>
    <w:basedOn w:val="DefaultParagraphFont"/>
    <w:link w:val="Heading2"/>
    <w:rsid w:val="00441E88"/>
    <w:rPr>
      <w:rFonts w:eastAsia="Times New Roman" w:cs="Arial"/>
      <w:szCs w:val="20"/>
    </w:rPr>
  </w:style>
  <w:style w:type="character" w:customStyle="1" w:styleId="Heading3Char">
    <w:name w:val="Heading 3 Char"/>
    <w:aliases w:val="L2 Char"/>
    <w:basedOn w:val="DefaultParagraphFont"/>
    <w:link w:val="Heading3"/>
    <w:rsid w:val="00441E88"/>
    <w:rPr>
      <w:rFonts w:eastAsia="Times New Roman" w:cs="Arial"/>
      <w:szCs w:val="20"/>
    </w:rPr>
  </w:style>
  <w:style w:type="character" w:customStyle="1" w:styleId="Heading4Char">
    <w:name w:val="Heading 4 Char"/>
    <w:aliases w:val="L3 Char"/>
    <w:basedOn w:val="DefaultParagraphFont"/>
    <w:link w:val="Heading4"/>
    <w:rsid w:val="00441E88"/>
    <w:rPr>
      <w:rFonts w:eastAsia="Times New Roman" w:cs="Arial"/>
      <w:szCs w:val="20"/>
    </w:rPr>
  </w:style>
  <w:style w:type="character" w:customStyle="1" w:styleId="Heading5Char">
    <w:name w:val="Heading 5 Char"/>
    <w:aliases w:val="L4 Char"/>
    <w:basedOn w:val="DefaultParagraphFont"/>
    <w:link w:val="Heading5"/>
    <w:rsid w:val="00441E88"/>
    <w:rPr>
      <w:rFonts w:eastAsia="Times New Roman" w:cs="Arial"/>
      <w:szCs w:val="20"/>
    </w:rPr>
  </w:style>
  <w:style w:type="character" w:customStyle="1" w:styleId="Heading6Char">
    <w:name w:val="Heading 6 Char"/>
    <w:aliases w:val="L5 Char"/>
    <w:basedOn w:val="DefaultParagraphFont"/>
    <w:link w:val="Heading6"/>
    <w:rsid w:val="00441E88"/>
    <w:rPr>
      <w:rFonts w:eastAsia="Times New Roman" w:cs="Arial"/>
      <w:szCs w:val="20"/>
    </w:rPr>
  </w:style>
  <w:style w:type="character" w:customStyle="1" w:styleId="Heading7Char">
    <w:name w:val="Heading 7 Char"/>
    <w:basedOn w:val="DefaultParagraphFont"/>
    <w:link w:val="Heading7"/>
    <w:semiHidden/>
    <w:rsid w:val="00441E88"/>
    <w:rPr>
      <w:rFonts w:eastAsia="Times New Roman" w:cs="Arial"/>
      <w:szCs w:val="20"/>
    </w:rPr>
  </w:style>
  <w:style w:type="character" w:customStyle="1" w:styleId="Heading8Char">
    <w:name w:val="Heading 8 Char"/>
    <w:basedOn w:val="DefaultParagraphFont"/>
    <w:link w:val="Heading8"/>
    <w:semiHidden/>
    <w:rsid w:val="00441E88"/>
    <w:rPr>
      <w:rFonts w:eastAsia="Times New Roman" w:cs="Arial"/>
      <w:szCs w:val="20"/>
    </w:rPr>
  </w:style>
  <w:style w:type="character" w:customStyle="1" w:styleId="Heading9Char">
    <w:name w:val="Heading 9 Char"/>
    <w:basedOn w:val="DefaultParagraphFont"/>
    <w:link w:val="Heading9"/>
    <w:semiHidden/>
    <w:rsid w:val="00441E88"/>
    <w:rPr>
      <w:rFonts w:eastAsia="Times New Roman" w:cs="Arial"/>
      <w:szCs w:val="20"/>
    </w:rPr>
  </w:style>
  <w:style w:type="paragraph" w:customStyle="1" w:styleId="Indented">
    <w:name w:val="Indented"/>
    <w:basedOn w:val="Normal"/>
    <w:semiHidden/>
    <w:rsid w:val="00441E88"/>
    <w:pPr>
      <w:ind w:left="851"/>
    </w:pPr>
  </w:style>
  <w:style w:type="paragraph" w:styleId="Footer">
    <w:name w:val="footer"/>
    <w:basedOn w:val="Normal"/>
    <w:link w:val="FooterChar"/>
    <w:uiPriority w:val="99"/>
    <w:rsid w:val="00441E88"/>
    <w:pPr>
      <w:tabs>
        <w:tab w:val="center" w:pos="4320"/>
        <w:tab w:val="right" w:pos="8640"/>
      </w:tabs>
      <w:spacing w:after="0" w:line="240" w:lineRule="auto"/>
      <w:jc w:val="both"/>
    </w:pPr>
    <w:rPr>
      <w:rFonts w:ascii="Arial" w:eastAsia="Times New Roman" w:hAnsi="Arial" w:cs="Arial"/>
      <w:sz w:val="21"/>
      <w:szCs w:val="20"/>
    </w:rPr>
  </w:style>
  <w:style w:type="character" w:customStyle="1" w:styleId="FooterChar">
    <w:name w:val="Footer Char"/>
    <w:basedOn w:val="DefaultParagraphFont"/>
    <w:link w:val="Footer"/>
    <w:uiPriority w:val="99"/>
    <w:rsid w:val="00441E88"/>
    <w:rPr>
      <w:rFonts w:eastAsia="Times New Roman" w:cs="Arial"/>
      <w:szCs w:val="20"/>
    </w:rPr>
  </w:style>
  <w:style w:type="paragraph" w:styleId="Header">
    <w:name w:val="header"/>
    <w:basedOn w:val="Normal"/>
    <w:link w:val="HeaderChar"/>
    <w:semiHidden/>
    <w:rsid w:val="00441E88"/>
    <w:pPr>
      <w:tabs>
        <w:tab w:val="center" w:pos="4320"/>
        <w:tab w:val="right" w:pos="8640"/>
      </w:tabs>
      <w:spacing w:after="0" w:line="240" w:lineRule="auto"/>
      <w:jc w:val="both"/>
    </w:pPr>
    <w:rPr>
      <w:rFonts w:ascii="Arial" w:eastAsia="Times New Roman" w:hAnsi="Arial" w:cs="Arial"/>
      <w:sz w:val="21"/>
      <w:szCs w:val="20"/>
    </w:rPr>
  </w:style>
  <w:style w:type="character" w:customStyle="1" w:styleId="HeaderChar">
    <w:name w:val="Header Char"/>
    <w:basedOn w:val="DefaultParagraphFont"/>
    <w:link w:val="Header"/>
    <w:semiHidden/>
    <w:rsid w:val="00441E88"/>
    <w:rPr>
      <w:rFonts w:eastAsia="Times New Roman" w:cs="Arial"/>
      <w:szCs w:val="20"/>
    </w:rPr>
  </w:style>
  <w:style w:type="character" w:styleId="PageNumber">
    <w:name w:val="page number"/>
    <w:basedOn w:val="DefaultParagraphFont"/>
    <w:semiHidden/>
    <w:rsid w:val="00441E88"/>
  </w:style>
  <w:style w:type="paragraph" w:styleId="TOC1">
    <w:name w:val="toc 1"/>
    <w:basedOn w:val="Normal"/>
    <w:next w:val="Normal"/>
    <w:semiHidden/>
    <w:rsid w:val="00441E88"/>
    <w:pPr>
      <w:tabs>
        <w:tab w:val="right" w:leader="dot" w:pos="9027"/>
      </w:tabs>
      <w:spacing w:after="0" w:line="240" w:lineRule="auto"/>
      <w:ind w:left="851" w:hanging="851"/>
      <w:jc w:val="both"/>
    </w:pPr>
    <w:rPr>
      <w:rFonts w:ascii="Arial" w:eastAsia="Times New Roman" w:hAnsi="Arial" w:cs="Arial"/>
      <w:sz w:val="21"/>
      <w:szCs w:val="20"/>
    </w:rPr>
  </w:style>
  <w:style w:type="paragraph" w:customStyle="1" w:styleId="NoNum">
    <w:name w:val="NoNum"/>
    <w:basedOn w:val="Normal"/>
    <w:rsid w:val="00441E88"/>
  </w:style>
  <w:style w:type="paragraph" w:customStyle="1" w:styleId="TabFormat">
    <w:name w:val="TabFormat"/>
    <w:basedOn w:val="Normal"/>
    <w:semiHidden/>
    <w:rsid w:val="00441E88"/>
    <w:pPr>
      <w:spacing w:after="0" w:line="240" w:lineRule="auto"/>
      <w:jc w:val="both"/>
    </w:pPr>
    <w:rPr>
      <w:rFonts w:ascii="Arial" w:eastAsia="Times New Roman" w:hAnsi="Arial" w:cs="Arial"/>
      <w:sz w:val="21"/>
      <w:szCs w:val="20"/>
    </w:rPr>
  </w:style>
  <w:style w:type="paragraph" w:customStyle="1" w:styleId="NoNumCrt">
    <w:name w:val="NoNumCrt"/>
    <w:basedOn w:val="NoNum"/>
    <w:rsid w:val="00441E88"/>
  </w:style>
  <w:style w:type="table" w:styleId="TableGrid">
    <w:name w:val="Table Grid"/>
    <w:basedOn w:val="TableNormal"/>
    <w:uiPriority w:val="39"/>
    <w:rsid w:val="00D0024A"/>
    <w:pPr>
      <w:jc w:val="left"/>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2ED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D2EDA"/>
  </w:style>
  <w:style w:type="character" w:customStyle="1" w:styleId="eop">
    <w:name w:val="eop"/>
    <w:basedOn w:val="DefaultParagraphFont"/>
    <w:rsid w:val="00DD2EDA"/>
  </w:style>
  <w:style w:type="character" w:styleId="CommentReference">
    <w:name w:val="annotation reference"/>
    <w:basedOn w:val="DefaultParagraphFont"/>
    <w:uiPriority w:val="99"/>
    <w:semiHidden/>
    <w:unhideWhenUsed/>
    <w:rsid w:val="00EA40A0"/>
    <w:rPr>
      <w:sz w:val="16"/>
      <w:szCs w:val="16"/>
    </w:rPr>
  </w:style>
  <w:style w:type="paragraph" w:styleId="CommentText">
    <w:name w:val="annotation text"/>
    <w:basedOn w:val="Normal"/>
    <w:link w:val="CommentTextChar"/>
    <w:uiPriority w:val="99"/>
    <w:unhideWhenUsed/>
    <w:rsid w:val="00EA40A0"/>
    <w:pPr>
      <w:spacing w:line="240" w:lineRule="auto"/>
    </w:pPr>
    <w:rPr>
      <w:sz w:val="20"/>
      <w:szCs w:val="20"/>
    </w:rPr>
  </w:style>
  <w:style w:type="character" w:customStyle="1" w:styleId="CommentTextChar">
    <w:name w:val="Comment Text Char"/>
    <w:basedOn w:val="DefaultParagraphFont"/>
    <w:link w:val="CommentText"/>
    <w:uiPriority w:val="99"/>
    <w:rsid w:val="00EA40A0"/>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A40A0"/>
    <w:rPr>
      <w:b/>
      <w:bCs/>
    </w:rPr>
  </w:style>
  <w:style w:type="character" w:customStyle="1" w:styleId="CommentSubjectChar">
    <w:name w:val="Comment Subject Char"/>
    <w:basedOn w:val="CommentTextChar"/>
    <w:link w:val="CommentSubject"/>
    <w:uiPriority w:val="99"/>
    <w:semiHidden/>
    <w:rsid w:val="00EA40A0"/>
    <w:rPr>
      <w:rFonts w:asciiTheme="minorHAnsi" w:eastAsiaTheme="minorHAnsi" w:hAnsiTheme="minorHAnsi"/>
      <w:b/>
      <w:bCs/>
      <w:sz w:val="20"/>
      <w:szCs w:val="20"/>
    </w:rPr>
  </w:style>
  <w:style w:type="paragraph" w:styleId="Revision">
    <w:name w:val="Revision"/>
    <w:hidden/>
    <w:uiPriority w:val="99"/>
    <w:semiHidden/>
    <w:rsid w:val="00EA40A0"/>
    <w:pPr>
      <w:jc w:val="left"/>
    </w:pPr>
    <w:rPr>
      <w:rFonts w:asciiTheme="minorHAnsi" w:eastAsiaTheme="minorHAnsi" w:hAnsiTheme="minorHAnsi"/>
      <w:sz w:val="22"/>
      <w:szCs w:val="22"/>
    </w:rPr>
  </w:style>
  <w:style w:type="paragraph" w:styleId="ListParagraph">
    <w:name w:val="List Paragraph"/>
    <w:basedOn w:val="Normal"/>
    <w:uiPriority w:val="34"/>
    <w:rsid w:val="008616A2"/>
    <w:pPr>
      <w:ind w:left="720"/>
      <w:contextualSpacing/>
    </w:pPr>
  </w:style>
  <w:style w:type="paragraph" w:styleId="FootnoteText">
    <w:name w:val="footnote text"/>
    <w:basedOn w:val="Normal"/>
    <w:link w:val="FootnoteTextChar"/>
    <w:uiPriority w:val="99"/>
    <w:semiHidden/>
    <w:unhideWhenUsed/>
    <w:rsid w:val="009417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17F6"/>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941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19387">
      <w:bodyDiv w:val="1"/>
      <w:marLeft w:val="0"/>
      <w:marRight w:val="0"/>
      <w:marTop w:val="0"/>
      <w:marBottom w:val="0"/>
      <w:divBdr>
        <w:top w:val="none" w:sz="0" w:space="0" w:color="auto"/>
        <w:left w:val="none" w:sz="0" w:space="0" w:color="auto"/>
        <w:bottom w:val="none" w:sz="0" w:space="0" w:color="auto"/>
        <w:right w:val="none" w:sz="0" w:space="0" w:color="auto"/>
      </w:divBdr>
    </w:div>
    <w:div w:id="657153151">
      <w:bodyDiv w:val="1"/>
      <w:marLeft w:val="0"/>
      <w:marRight w:val="0"/>
      <w:marTop w:val="0"/>
      <w:marBottom w:val="0"/>
      <w:divBdr>
        <w:top w:val="none" w:sz="0" w:space="0" w:color="auto"/>
        <w:left w:val="none" w:sz="0" w:space="0" w:color="auto"/>
        <w:bottom w:val="none" w:sz="0" w:space="0" w:color="auto"/>
        <w:right w:val="none" w:sz="0" w:space="0" w:color="auto"/>
      </w:divBdr>
      <w:divsChild>
        <w:div w:id="199972854">
          <w:marLeft w:val="0"/>
          <w:marRight w:val="0"/>
          <w:marTop w:val="0"/>
          <w:marBottom w:val="0"/>
          <w:divBdr>
            <w:top w:val="none" w:sz="0" w:space="0" w:color="auto"/>
            <w:left w:val="none" w:sz="0" w:space="0" w:color="auto"/>
            <w:bottom w:val="none" w:sz="0" w:space="0" w:color="auto"/>
            <w:right w:val="none" w:sz="0" w:space="0" w:color="auto"/>
          </w:divBdr>
        </w:div>
        <w:div w:id="844248379">
          <w:marLeft w:val="0"/>
          <w:marRight w:val="0"/>
          <w:marTop w:val="0"/>
          <w:marBottom w:val="0"/>
          <w:divBdr>
            <w:top w:val="none" w:sz="0" w:space="0" w:color="auto"/>
            <w:left w:val="none" w:sz="0" w:space="0" w:color="auto"/>
            <w:bottom w:val="none" w:sz="0" w:space="0" w:color="auto"/>
            <w:right w:val="none" w:sz="0" w:space="0" w:color="auto"/>
          </w:divBdr>
        </w:div>
        <w:div w:id="1141968806">
          <w:marLeft w:val="0"/>
          <w:marRight w:val="0"/>
          <w:marTop w:val="0"/>
          <w:marBottom w:val="0"/>
          <w:divBdr>
            <w:top w:val="none" w:sz="0" w:space="0" w:color="auto"/>
            <w:left w:val="none" w:sz="0" w:space="0" w:color="auto"/>
            <w:bottom w:val="none" w:sz="0" w:space="0" w:color="auto"/>
            <w:right w:val="none" w:sz="0" w:space="0" w:color="auto"/>
          </w:divBdr>
        </w:div>
        <w:div w:id="1397704905">
          <w:marLeft w:val="0"/>
          <w:marRight w:val="0"/>
          <w:marTop w:val="0"/>
          <w:marBottom w:val="0"/>
          <w:divBdr>
            <w:top w:val="none" w:sz="0" w:space="0" w:color="auto"/>
            <w:left w:val="none" w:sz="0" w:space="0" w:color="auto"/>
            <w:bottom w:val="none" w:sz="0" w:space="0" w:color="auto"/>
            <w:right w:val="none" w:sz="0" w:space="0" w:color="auto"/>
          </w:divBdr>
        </w:div>
        <w:div w:id="1849637705">
          <w:marLeft w:val="0"/>
          <w:marRight w:val="0"/>
          <w:marTop w:val="0"/>
          <w:marBottom w:val="0"/>
          <w:divBdr>
            <w:top w:val="none" w:sz="0" w:space="0" w:color="auto"/>
            <w:left w:val="none" w:sz="0" w:space="0" w:color="auto"/>
            <w:bottom w:val="none" w:sz="0" w:space="0" w:color="auto"/>
            <w:right w:val="none" w:sz="0" w:space="0" w:color="auto"/>
          </w:divBdr>
        </w:div>
        <w:div w:id="1860660838">
          <w:marLeft w:val="0"/>
          <w:marRight w:val="0"/>
          <w:marTop w:val="0"/>
          <w:marBottom w:val="0"/>
          <w:divBdr>
            <w:top w:val="none" w:sz="0" w:space="0" w:color="auto"/>
            <w:left w:val="none" w:sz="0" w:space="0" w:color="auto"/>
            <w:bottom w:val="none" w:sz="0" w:space="0" w:color="auto"/>
            <w:right w:val="none" w:sz="0" w:space="0" w:color="auto"/>
          </w:divBdr>
        </w:div>
        <w:div w:id="19818866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DCDF4B5DC254887466572A3E281D0" ma:contentTypeVersion="14" ma:contentTypeDescription="Create a new document." ma:contentTypeScope="" ma:versionID="01c66bd16ce4458c8985342c2a565dab">
  <xsd:schema xmlns:xsd="http://www.w3.org/2001/XMLSchema" xmlns:xs="http://www.w3.org/2001/XMLSchema" xmlns:p="http://schemas.microsoft.com/office/2006/metadata/properties" xmlns:ns3="ce1a0e00-bcb9-4ca7-8d5e-44a26a82451c" targetNamespace="http://schemas.microsoft.com/office/2006/metadata/properties" ma:root="true" ma:fieldsID="589122224ee8d44686b245e28f6e94ec" ns3:_="">
    <xsd:import namespace="ce1a0e00-bcb9-4ca7-8d5e-44a26a8245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a0e00-bcb9-4ca7-8d5e-44a26a824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e1a0e00-bcb9-4ca7-8d5e-44a26a8245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D07F8-288A-47D6-99D8-33E3EDD5F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a0e00-bcb9-4ca7-8d5e-44a26a824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CCAE3-793B-431D-959A-0FE2E9D79688}">
  <ds:schemaRefs>
    <ds:schemaRef ds:uri="http://schemas.openxmlformats.org/officeDocument/2006/bibliography"/>
  </ds:schemaRefs>
</ds:datastoreItem>
</file>

<file path=customXml/itemProps3.xml><?xml version="1.0" encoding="utf-8"?>
<ds:datastoreItem xmlns:ds="http://schemas.openxmlformats.org/officeDocument/2006/customXml" ds:itemID="{189933A4-ED07-49EF-A3E2-799E95015DA6}">
  <ds:schemaRefs>
    <ds:schemaRef ds:uri="http://schemas.microsoft.com/office/2006/metadata/properties"/>
    <ds:schemaRef ds:uri="http://schemas.microsoft.com/office/infopath/2007/PartnerControls"/>
    <ds:schemaRef ds:uri="ce1a0e00-bcb9-4ca7-8d5e-44a26a82451c"/>
  </ds:schemaRefs>
</ds:datastoreItem>
</file>

<file path=customXml/itemProps4.xml><?xml version="1.0" encoding="utf-8"?>
<ds:datastoreItem xmlns:ds="http://schemas.openxmlformats.org/officeDocument/2006/customXml" ds:itemID="{6A396CA3-7C41-412E-8BC8-361FC5A23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28468</Characters>
  <Application>Microsoft Office Word</Application>
  <DocSecurity>4</DocSecurity>
  <Lines>1779</Lines>
  <Paragraphs>626</Paragraphs>
  <ScaleCrop>false</ScaleCrop>
  <HeadingPairs>
    <vt:vector size="2" baseType="variant">
      <vt:variant>
        <vt:lpstr>Title</vt:lpstr>
      </vt:variant>
      <vt:variant>
        <vt:i4>1</vt:i4>
      </vt:variant>
    </vt:vector>
  </HeadingPairs>
  <TitlesOfParts>
    <vt:vector size="1" baseType="lpstr">
      <vt:lpstr>Court document</vt:lpstr>
    </vt:vector>
  </TitlesOfParts>
  <Company/>
  <LinksUpToDate>false</LinksUpToDate>
  <CharactersWithSpaces>32570</CharactersWithSpaces>
  <SharedDoc>false</SharedDoc>
  <HyperlinkBase>EMW-724042-24-58-V2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document</dc:title>
  <dc:subject>Blank charge template</dc:subject>
  <dc:creator>Ellie Wilson</dc:creator>
  <cp:keywords/>
  <dc:description/>
  <cp:lastModifiedBy>Deepika Latchman</cp:lastModifiedBy>
  <cp:revision>2</cp:revision>
  <dcterms:created xsi:type="dcterms:W3CDTF">2024-08-21T00:10:00Z</dcterms:created>
  <dcterms:modified xsi:type="dcterms:W3CDTF">2024-08-21T00:10:00Z</dcterms:modified>
  <cp:category>EMW-724042-24-58-V2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0x01010060BDCDF4B5DC254887466572A3E281D0</vt:lpwstr>
  </property>
  <property fmtid="{D5CDD505-2E9C-101B-9397-08002B2CF9AE}" pid="3" name="MediaServiceImageTags">
    <vt:lpwstr/>
  </property>
  <property fmtid="{D5CDD505-2E9C-101B-9397-08002B2CF9AE}" pid="4" name="_dlc_DocIdItemGuid">
    <vt:lpwstr>90a77e2f-7fbf-4be0-8532-cdb389c047b0</vt:lpwstr>
  </property>
</Properties>
</file>