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09B6" w14:textId="77777777" w:rsidR="00671368" w:rsidRDefault="00671368" w:rsidP="000658FD">
      <w:pPr>
        <w:spacing w:after="0" w:line="240" w:lineRule="auto"/>
        <w:jc w:val="both"/>
        <w:rPr>
          <w:rFonts w:ascii="Calibri" w:eastAsia="Times" w:hAnsi="Calibri" w:cs="Calibri"/>
          <w:b/>
          <w:sz w:val="24"/>
          <w:szCs w:val="20"/>
          <w:lang w:val="en-GB"/>
        </w:rPr>
      </w:pPr>
    </w:p>
    <w:p w14:paraId="1CD463CE" w14:textId="77777777" w:rsidR="000658FD" w:rsidRDefault="000658FD" w:rsidP="000658FD">
      <w:pPr>
        <w:spacing w:after="0" w:line="240" w:lineRule="auto"/>
        <w:jc w:val="both"/>
        <w:rPr>
          <w:rFonts w:ascii="Calibri" w:eastAsia="Times" w:hAnsi="Calibri" w:cs="Calibri"/>
          <w:b/>
          <w:sz w:val="24"/>
          <w:szCs w:val="20"/>
          <w:lang w:val="en-GB"/>
        </w:rPr>
      </w:pPr>
      <w:r>
        <w:rPr>
          <w:rFonts w:ascii="Calibri" w:eastAsia="Times" w:hAnsi="Calibri" w:cs="Calibri"/>
          <w:b/>
          <w:sz w:val="24"/>
          <w:szCs w:val="20"/>
          <w:lang w:val="en-GB"/>
        </w:rPr>
        <w:t>BEFORE THE SOCIAL WORKERS COMPLAINTS AND DISCIPLINARY TRIBUNAL</w:t>
      </w:r>
    </w:p>
    <w:p w14:paraId="1B058C29" w14:textId="77777777" w:rsidR="000658FD" w:rsidRDefault="000658FD" w:rsidP="000658FD">
      <w:pPr>
        <w:spacing w:after="0" w:line="240" w:lineRule="auto"/>
        <w:jc w:val="both"/>
        <w:rPr>
          <w:rFonts w:ascii="Calibri" w:eastAsia="Times" w:hAnsi="Calibri" w:cs="Calibri"/>
          <w:b/>
          <w:sz w:val="24"/>
          <w:szCs w:val="20"/>
          <w:lang w:val="en-GB"/>
        </w:rPr>
      </w:pPr>
    </w:p>
    <w:p w14:paraId="3EDECED2" w14:textId="77777777" w:rsidR="000658FD" w:rsidRDefault="000658FD" w:rsidP="000658FD">
      <w:pPr>
        <w:tabs>
          <w:tab w:val="left" w:pos="2552"/>
        </w:tabs>
        <w:spacing w:after="0" w:line="240" w:lineRule="auto"/>
        <w:jc w:val="both"/>
        <w:rPr>
          <w:rFonts w:ascii="Calibri" w:eastAsia="Times" w:hAnsi="Calibri" w:cs="Calibri"/>
          <w:b/>
          <w:sz w:val="24"/>
          <w:szCs w:val="20"/>
          <w:lang w:val="en-GB"/>
        </w:rPr>
      </w:pPr>
      <w:r>
        <w:rPr>
          <w:rFonts w:ascii="Calibri" w:eastAsia="Times" w:hAnsi="Calibri" w:cs="Calibri"/>
          <w:b/>
          <w:sz w:val="24"/>
          <w:szCs w:val="20"/>
          <w:lang w:val="en-GB"/>
        </w:rPr>
        <w:tab/>
      </w:r>
    </w:p>
    <w:p w14:paraId="04B12489" w14:textId="62D3573B" w:rsidR="000658FD" w:rsidRDefault="000658FD" w:rsidP="00671368">
      <w:pPr>
        <w:tabs>
          <w:tab w:val="left" w:pos="2552"/>
        </w:tabs>
        <w:spacing w:after="0" w:line="480" w:lineRule="auto"/>
        <w:jc w:val="both"/>
        <w:rPr>
          <w:rFonts w:ascii="Calibri" w:eastAsia="Times" w:hAnsi="Calibri" w:cs="Calibri"/>
          <w:b/>
          <w:sz w:val="24"/>
          <w:szCs w:val="20"/>
          <w:lang w:val="en-GB"/>
        </w:rPr>
      </w:pPr>
      <w:r>
        <w:rPr>
          <w:rFonts w:ascii="Calibri" w:eastAsia="Times" w:hAnsi="Calibri" w:cs="Calibri"/>
          <w:b/>
          <w:sz w:val="24"/>
          <w:szCs w:val="20"/>
          <w:lang w:val="en-GB"/>
        </w:rPr>
        <w:tab/>
        <w:t>REF</w:t>
      </w:r>
      <w:r>
        <w:rPr>
          <w:rFonts w:ascii="Calibri" w:eastAsia="Times" w:hAnsi="Calibri" w:cs="Calibri"/>
          <w:b/>
          <w:sz w:val="24"/>
          <w:szCs w:val="20"/>
          <w:lang w:val="en-GB"/>
        </w:rPr>
        <w:tab/>
      </w:r>
      <w:r>
        <w:rPr>
          <w:rFonts w:ascii="Calibri" w:eastAsia="Times" w:hAnsi="Calibri" w:cs="Calibri"/>
          <w:b/>
          <w:sz w:val="24"/>
          <w:szCs w:val="20"/>
          <w:lang w:val="en-GB"/>
        </w:rPr>
        <w:tab/>
        <w:t>RSW9/</w:t>
      </w:r>
      <w:r w:rsidR="00895B06">
        <w:rPr>
          <w:rFonts w:ascii="Calibri" w:eastAsia="Times" w:hAnsi="Calibri" w:cs="Calibri"/>
          <w:b/>
          <w:sz w:val="24"/>
          <w:szCs w:val="20"/>
          <w:lang w:val="en-GB"/>
        </w:rPr>
        <w:t>D1/</w:t>
      </w:r>
      <w:r>
        <w:rPr>
          <w:rFonts w:ascii="Calibri" w:eastAsia="Times" w:hAnsi="Calibri" w:cs="Calibri"/>
          <w:b/>
          <w:sz w:val="24"/>
          <w:szCs w:val="20"/>
          <w:lang w:val="en-GB"/>
        </w:rPr>
        <w:t>SWDT/2020</w:t>
      </w:r>
    </w:p>
    <w:p w14:paraId="55E0C283" w14:textId="77777777" w:rsidR="000658FD" w:rsidRDefault="000658FD" w:rsidP="00671368">
      <w:pPr>
        <w:tabs>
          <w:tab w:val="left" w:pos="884"/>
          <w:tab w:val="left" w:pos="1418"/>
          <w:tab w:val="left" w:pos="2552"/>
          <w:tab w:val="left" w:pos="4253"/>
        </w:tabs>
        <w:spacing w:after="0" w:line="480" w:lineRule="auto"/>
        <w:ind w:left="4253" w:hanging="2410"/>
        <w:rPr>
          <w:rFonts w:ascii="Calibri" w:eastAsia="Times" w:hAnsi="Calibri" w:cs="Calibri"/>
          <w:sz w:val="24"/>
          <w:szCs w:val="20"/>
          <w:lang w:val="en-GB"/>
        </w:rPr>
      </w:pPr>
      <w:r>
        <w:rPr>
          <w:rFonts w:ascii="Calibri" w:eastAsia="Times" w:hAnsi="Calibri" w:cs="Calibri"/>
          <w:b/>
          <w:sz w:val="24"/>
          <w:szCs w:val="20"/>
          <w:lang w:val="en-GB"/>
        </w:rPr>
        <w:tab/>
        <w:t>UNDER</w:t>
      </w:r>
      <w:r>
        <w:rPr>
          <w:rFonts w:ascii="Calibri" w:eastAsia="Times" w:hAnsi="Calibri" w:cs="Calibri"/>
          <w:b/>
          <w:sz w:val="24"/>
          <w:szCs w:val="20"/>
          <w:lang w:val="en-GB"/>
        </w:rPr>
        <w:tab/>
      </w:r>
      <w:r>
        <w:rPr>
          <w:rFonts w:ascii="Calibri" w:eastAsia="Times" w:hAnsi="Calibri" w:cs="Calibri"/>
          <w:b/>
          <w:sz w:val="24"/>
          <w:szCs w:val="20"/>
          <w:lang w:val="en-GB"/>
        </w:rPr>
        <w:tab/>
      </w:r>
      <w:r>
        <w:rPr>
          <w:rFonts w:ascii="Calibri" w:eastAsia="Times" w:hAnsi="Calibri" w:cs="Calibri"/>
          <w:sz w:val="24"/>
          <w:szCs w:val="20"/>
          <w:lang w:val="en-GB"/>
        </w:rPr>
        <w:t>the Social Workers Registration Act (“the Act”)</w:t>
      </w:r>
    </w:p>
    <w:p w14:paraId="2A92F6EE" w14:textId="77777777" w:rsidR="000658FD" w:rsidRDefault="000658FD" w:rsidP="00671368">
      <w:pPr>
        <w:tabs>
          <w:tab w:val="left" w:pos="884"/>
          <w:tab w:val="left" w:pos="1418"/>
          <w:tab w:val="left" w:pos="2552"/>
          <w:tab w:val="left" w:pos="4253"/>
        </w:tabs>
        <w:spacing w:after="0" w:line="480" w:lineRule="auto"/>
        <w:ind w:left="4253" w:hanging="2410"/>
        <w:rPr>
          <w:rFonts w:ascii="Calibri" w:eastAsia="Times" w:hAnsi="Calibri" w:cs="Calibri"/>
          <w:sz w:val="24"/>
          <w:szCs w:val="20"/>
          <w:lang w:val="en-GB"/>
        </w:rPr>
      </w:pPr>
      <w:r>
        <w:rPr>
          <w:rFonts w:ascii="Calibri" w:eastAsia="Times" w:hAnsi="Calibri" w:cs="Calibri"/>
          <w:b/>
          <w:sz w:val="24"/>
          <w:szCs w:val="20"/>
          <w:lang w:val="en-GB"/>
        </w:rPr>
        <w:tab/>
        <w:t xml:space="preserve">IN THE MATTER </w:t>
      </w:r>
      <w:r>
        <w:rPr>
          <w:rFonts w:ascii="Calibri" w:eastAsia="Times" w:hAnsi="Calibri" w:cs="Calibri"/>
          <w:sz w:val="24"/>
          <w:szCs w:val="20"/>
          <w:lang w:val="en-GB"/>
        </w:rPr>
        <w:tab/>
        <w:t>of a disciplinary charge laid against a social worker under Part 4 of the Act.</w:t>
      </w:r>
    </w:p>
    <w:p w14:paraId="6317CC0B" w14:textId="77777777" w:rsidR="000658FD" w:rsidRDefault="000658FD" w:rsidP="00671368">
      <w:pPr>
        <w:tabs>
          <w:tab w:val="left" w:pos="884"/>
          <w:tab w:val="left" w:pos="1418"/>
          <w:tab w:val="left" w:pos="2552"/>
          <w:tab w:val="left" w:pos="4253"/>
        </w:tabs>
        <w:spacing w:after="0" w:line="480" w:lineRule="auto"/>
        <w:ind w:left="4253" w:hanging="2693"/>
        <w:rPr>
          <w:rFonts w:ascii="Calibri" w:eastAsia="Times" w:hAnsi="Calibri" w:cs="Calibri"/>
          <w:b/>
          <w:sz w:val="24"/>
          <w:szCs w:val="20"/>
          <w:lang w:val="en-GB"/>
        </w:rPr>
      </w:pPr>
      <w:r>
        <w:rPr>
          <w:rFonts w:ascii="Calibri" w:eastAsia="Times" w:hAnsi="Calibri" w:cs="Calibri"/>
          <w:b/>
          <w:sz w:val="24"/>
          <w:szCs w:val="20"/>
          <w:lang w:val="en-GB"/>
        </w:rPr>
        <w:tab/>
        <w:t>BETWEEN</w:t>
      </w:r>
      <w:r>
        <w:rPr>
          <w:rFonts w:ascii="Calibri" w:eastAsia="Times" w:hAnsi="Calibri" w:cs="Calibri"/>
          <w:b/>
          <w:sz w:val="24"/>
          <w:szCs w:val="20"/>
          <w:lang w:val="en-GB"/>
        </w:rPr>
        <w:tab/>
        <w:t>A PROFESSIONAL CONDUCT COMMITTEE appointed by the SOCIAL WORKERS REGISTRATION BOARD</w:t>
      </w:r>
    </w:p>
    <w:p w14:paraId="2E6A3ACE" w14:textId="58D0AAF5" w:rsidR="000658FD" w:rsidRPr="00895B06" w:rsidRDefault="00671368" w:rsidP="00671368">
      <w:pPr>
        <w:tabs>
          <w:tab w:val="left" w:pos="884"/>
          <w:tab w:val="left" w:pos="2552"/>
          <w:tab w:val="left" w:pos="3402"/>
          <w:tab w:val="left" w:pos="4253"/>
        </w:tabs>
        <w:spacing w:after="0" w:line="480" w:lineRule="auto"/>
        <w:rPr>
          <w:rFonts w:ascii="Calibri" w:eastAsia="Times" w:hAnsi="Calibri" w:cs="Calibri"/>
          <w:b/>
          <w:vanish/>
          <w:sz w:val="24"/>
          <w:szCs w:val="20"/>
          <w:lang w:val="en-GB"/>
        </w:rPr>
      </w:pPr>
      <w:r>
        <w:rPr>
          <w:rFonts w:ascii="Calibri" w:eastAsia="Times" w:hAnsi="Calibri" w:cs="Calibri"/>
          <w:b/>
          <w:sz w:val="24"/>
          <w:szCs w:val="20"/>
          <w:lang w:val="en-GB"/>
        </w:rPr>
        <w:tab/>
      </w:r>
      <w:r w:rsidR="000658FD">
        <w:rPr>
          <w:rFonts w:ascii="Calibri" w:eastAsia="Times" w:hAnsi="Calibri" w:cs="Calibri"/>
          <w:b/>
          <w:sz w:val="24"/>
          <w:szCs w:val="20"/>
          <w:lang w:val="en-GB"/>
        </w:rPr>
        <w:tab/>
      </w:r>
      <w:r w:rsidR="000658FD">
        <w:rPr>
          <w:rFonts w:ascii="Calibri" w:eastAsia="Times" w:hAnsi="Calibri" w:cs="Calibri"/>
          <w:b/>
          <w:vanish/>
          <w:sz w:val="24"/>
          <w:szCs w:val="20"/>
          <w:lang w:val="en-GB"/>
        </w:rPr>
        <w:t>name of the RA in capital</w:t>
      </w:r>
    </w:p>
    <w:p w14:paraId="1D60393C" w14:textId="2E0BAE4B" w:rsidR="00FB2D6A" w:rsidRDefault="000658FD" w:rsidP="00FB2D6A">
      <w:pPr>
        <w:tabs>
          <w:tab w:val="left" w:pos="2268"/>
          <w:tab w:val="left" w:pos="2552"/>
          <w:tab w:val="left" w:pos="4253"/>
        </w:tabs>
        <w:spacing w:after="0" w:line="480" w:lineRule="auto"/>
        <w:ind w:left="6480" w:hanging="3495"/>
        <w:rPr>
          <w:rFonts w:ascii="Calibri" w:eastAsia="Times" w:hAnsi="Calibri" w:cs="Calibri"/>
          <w:sz w:val="24"/>
          <w:szCs w:val="20"/>
          <w:lang w:val="en-GB"/>
        </w:rPr>
      </w:pPr>
      <w:r>
        <w:rPr>
          <w:rFonts w:ascii="Calibri" w:eastAsia="Times" w:hAnsi="Calibri" w:cs="Calibri"/>
          <w:b/>
          <w:sz w:val="24"/>
          <w:szCs w:val="20"/>
          <w:lang w:val="en-GB"/>
        </w:rPr>
        <w:t>AND</w:t>
      </w:r>
      <w:r>
        <w:rPr>
          <w:rFonts w:ascii="Calibri" w:eastAsia="Times" w:hAnsi="Calibri" w:cs="Calibri"/>
          <w:b/>
          <w:sz w:val="24"/>
          <w:szCs w:val="20"/>
          <w:lang w:val="en-GB"/>
        </w:rPr>
        <w:tab/>
        <w:t xml:space="preserve"> </w:t>
      </w:r>
      <w:r w:rsidR="00671368">
        <w:rPr>
          <w:rFonts w:ascii="Calibri" w:eastAsia="Times" w:hAnsi="Calibri" w:cs="Calibri"/>
          <w:b/>
          <w:sz w:val="24"/>
          <w:szCs w:val="20"/>
          <w:lang w:val="en-GB"/>
        </w:rPr>
        <w:tab/>
      </w:r>
      <w:r>
        <w:rPr>
          <w:rFonts w:ascii="Calibri" w:eastAsia="Times" w:hAnsi="Calibri" w:cs="Calibri"/>
          <w:b/>
          <w:sz w:val="24"/>
          <w:szCs w:val="20"/>
          <w:lang w:val="en-GB"/>
        </w:rPr>
        <w:t xml:space="preserve">Ms </w:t>
      </w:r>
      <w:r w:rsidR="00AE44D8">
        <w:rPr>
          <w:rFonts w:ascii="Calibri" w:eastAsia="Times" w:hAnsi="Calibri" w:cs="Calibri"/>
          <w:b/>
          <w:sz w:val="24"/>
          <w:szCs w:val="20"/>
          <w:lang w:val="en-GB"/>
        </w:rPr>
        <w:t>[</w:t>
      </w:r>
      <w:r w:rsidR="00403F87">
        <w:rPr>
          <w:rFonts w:ascii="Calibri" w:eastAsia="Times" w:hAnsi="Calibri" w:cs="Calibri"/>
          <w:b/>
          <w:sz w:val="24"/>
          <w:szCs w:val="20"/>
          <w:lang w:val="en-GB"/>
        </w:rPr>
        <w:t xml:space="preserve">RSW X </w:t>
      </w:r>
      <w:r w:rsidR="00AE44D8">
        <w:rPr>
          <w:rFonts w:ascii="Calibri" w:eastAsia="Times" w:hAnsi="Calibri" w:cs="Calibri"/>
          <w:b/>
          <w:sz w:val="24"/>
          <w:szCs w:val="20"/>
          <w:lang w:val="en-GB"/>
        </w:rPr>
        <w:t>name suppressed]</w:t>
      </w:r>
      <w:r>
        <w:rPr>
          <w:rFonts w:ascii="Calibri" w:eastAsia="Times" w:hAnsi="Calibri" w:cs="Calibri"/>
          <w:b/>
          <w:sz w:val="24"/>
          <w:szCs w:val="20"/>
          <w:lang w:val="en-GB"/>
        </w:rPr>
        <w:t xml:space="preserve"> </w:t>
      </w:r>
      <w:r>
        <w:rPr>
          <w:rFonts w:ascii="Calibri" w:eastAsia="Times" w:hAnsi="Calibri" w:cs="Calibri"/>
          <w:b/>
          <w:vanish/>
          <w:sz w:val="24"/>
          <w:szCs w:val="20"/>
          <w:lang w:val="en-GB"/>
        </w:rPr>
        <w:t>name of the practitioner bold and in capitals</w:t>
      </w:r>
      <w:r>
        <w:rPr>
          <w:rFonts w:ascii="Calibri" w:eastAsia="Times" w:hAnsi="Calibri" w:cs="Calibri"/>
          <w:vanish/>
          <w:sz w:val="24"/>
          <w:szCs w:val="20"/>
          <w:lang w:val="en-GB"/>
        </w:rPr>
        <w:t xml:space="preserve"> </w:t>
      </w:r>
      <w:r w:rsidR="00671368">
        <w:rPr>
          <w:rFonts w:ascii="Calibri" w:eastAsia="Times" w:hAnsi="Calibri" w:cs="Calibri"/>
          <w:sz w:val="24"/>
          <w:szCs w:val="20"/>
          <w:lang w:val="en-GB"/>
        </w:rPr>
        <w:t>of Auckland,</w:t>
      </w:r>
      <w:r>
        <w:rPr>
          <w:rFonts w:ascii="Calibri" w:eastAsia="Times" w:hAnsi="Calibri" w:cs="Calibri"/>
          <w:sz w:val="24"/>
          <w:szCs w:val="20"/>
          <w:lang w:val="en-GB"/>
        </w:rPr>
        <w:t xml:space="preserve"> </w:t>
      </w:r>
    </w:p>
    <w:p w14:paraId="3C5EC2E2" w14:textId="4E3C01F1" w:rsidR="000658FD" w:rsidRDefault="00FB2D6A" w:rsidP="00FB2D6A">
      <w:pPr>
        <w:tabs>
          <w:tab w:val="left" w:pos="2268"/>
          <w:tab w:val="left" w:pos="2552"/>
          <w:tab w:val="left" w:pos="4253"/>
        </w:tabs>
        <w:spacing w:after="0" w:line="480" w:lineRule="auto"/>
        <w:ind w:left="6480" w:hanging="3495"/>
        <w:rPr>
          <w:rFonts w:ascii="Calibri" w:eastAsia="Times" w:hAnsi="Calibri" w:cs="Calibri"/>
          <w:sz w:val="24"/>
          <w:szCs w:val="20"/>
          <w:lang w:val="en-GB"/>
        </w:rPr>
      </w:pPr>
      <w:r>
        <w:rPr>
          <w:rFonts w:ascii="Calibri" w:eastAsia="Times" w:hAnsi="Calibri" w:cs="Calibri"/>
          <w:sz w:val="24"/>
          <w:szCs w:val="20"/>
          <w:lang w:val="en-GB"/>
        </w:rPr>
        <w:tab/>
      </w:r>
      <w:r w:rsidR="000658FD">
        <w:rPr>
          <w:rFonts w:ascii="Calibri" w:eastAsia="Times" w:hAnsi="Calibri" w:cs="Calibri"/>
          <w:sz w:val="24"/>
          <w:szCs w:val="20"/>
          <w:lang w:val="en-GB"/>
        </w:rPr>
        <w:t>registered social worker</w:t>
      </w:r>
    </w:p>
    <w:p w14:paraId="1A672DF9" w14:textId="77777777" w:rsidR="000658FD" w:rsidRDefault="000658FD" w:rsidP="00671368">
      <w:pPr>
        <w:tabs>
          <w:tab w:val="left" w:pos="884"/>
          <w:tab w:val="left" w:pos="1418"/>
          <w:tab w:val="left" w:pos="3402"/>
          <w:tab w:val="left" w:pos="4253"/>
        </w:tabs>
        <w:spacing w:after="0" w:line="480" w:lineRule="auto"/>
        <w:ind w:left="4253" w:hanging="1985"/>
        <w:rPr>
          <w:rFonts w:ascii="Calibri" w:eastAsia="Times" w:hAnsi="Calibri" w:cs="Calibri"/>
          <w:b/>
          <w:sz w:val="24"/>
          <w:szCs w:val="20"/>
          <w:lang w:val="en-GB"/>
        </w:rPr>
      </w:pPr>
      <w:r>
        <w:rPr>
          <w:rFonts w:ascii="Calibri" w:eastAsia="Times" w:hAnsi="Calibri" w:cs="Calibri"/>
          <w:b/>
          <w:sz w:val="24"/>
          <w:szCs w:val="20"/>
          <w:lang w:val="en-GB"/>
        </w:rPr>
        <w:tab/>
      </w:r>
      <w:r>
        <w:rPr>
          <w:rFonts w:ascii="Calibri" w:eastAsia="Times" w:hAnsi="Calibri" w:cs="Calibri"/>
          <w:b/>
          <w:sz w:val="24"/>
          <w:szCs w:val="20"/>
          <w:lang w:val="en-GB"/>
        </w:rPr>
        <w:tab/>
        <w:t>Practitioner</w:t>
      </w:r>
    </w:p>
    <w:p w14:paraId="035B6315" w14:textId="7C55EBB8" w:rsidR="000658FD" w:rsidRPr="008F0D27" w:rsidRDefault="000658FD" w:rsidP="00671368">
      <w:pPr>
        <w:tabs>
          <w:tab w:val="left" w:pos="884"/>
          <w:tab w:val="left" w:pos="1418"/>
          <w:tab w:val="left" w:pos="3662"/>
          <w:tab w:val="left" w:pos="5953"/>
        </w:tabs>
        <w:spacing w:after="0" w:line="480" w:lineRule="auto"/>
        <w:ind w:right="226"/>
        <w:jc w:val="both"/>
        <w:rPr>
          <w:rFonts w:ascii="Calibri" w:eastAsia="Times" w:hAnsi="Calibri" w:cs="Calibri"/>
          <w:b/>
          <w:bCs/>
          <w:sz w:val="24"/>
          <w:szCs w:val="20"/>
          <w:lang w:val="en-GB"/>
        </w:rPr>
      </w:pPr>
      <w:r w:rsidRPr="008F0D27">
        <w:rPr>
          <w:rFonts w:ascii="Calibri" w:eastAsia="Times" w:hAnsi="Calibri" w:cs="Calibri"/>
          <w:b/>
          <w:bCs/>
          <w:sz w:val="24"/>
          <w:szCs w:val="20"/>
          <w:lang w:val="en-GB"/>
        </w:rPr>
        <w:fldChar w:fldCharType="begin"/>
      </w:r>
      <w:r w:rsidRPr="008F0D27">
        <w:rPr>
          <w:rFonts w:ascii="Calibri" w:eastAsia="Times" w:hAnsi="Calibri" w:cs="Calibri"/>
          <w:b/>
          <w:bCs/>
          <w:sz w:val="24"/>
          <w:szCs w:val="20"/>
          <w:lang w:val="en-GB"/>
        </w:rPr>
        <w:instrText xml:space="preserve">  </w:instrText>
      </w:r>
      <w:r w:rsidRPr="008F0D27">
        <w:rPr>
          <w:rFonts w:ascii="Calibri" w:eastAsia="Times" w:hAnsi="Calibri" w:cs="Calibri"/>
          <w:b/>
          <w:bCs/>
          <w:sz w:val="24"/>
          <w:szCs w:val="20"/>
          <w:lang w:val="en-GB"/>
        </w:rPr>
        <w:fldChar w:fldCharType="end"/>
      </w:r>
      <w:r w:rsidRPr="008F0D27">
        <w:rPr>
          <w:rFonts w:ascii="Calibri" w:eastAsia="Times" w:hAnsi="Calibri" w:cs="Calibri"/>
          <w:b/>
          <w:bCs/>
          <w:sz w:val="24"/>
          <w:szCs w:val="20"/>
          <w:lang w:val="en-GB"/>
        </w:rPr>
        <w:t xml:space="preserve">Hearing held on </w:t>
      </w:r>
      <w:r w:rsidR="006B3C0B" w:rsidRPr="008F0D27">
        <w:rPr>
          <w:rFonts w:ascii="Calibri" w:eastAsia="Times" w:hAnsi="Calibri" w:cs="Calibri"/>
          <w:b/>
          <w:bCs/>
          <w:sz w:val="24"/>
          <w:szCs w:val="20"/>
          <w:lang w:val="en-GB"/>
        </w:rPr>
        <w:t xml:space="preserve">Friday, </w:t>
      </w:r>
      <w:r w:rsidR="0073491D" w:rsidRPr="008F0D27">
        <w:rPr>
          <w:rFonts w:ascii="Calibri" w:eastAsia="Times" w:hAnsi="Calibri" w:cs="Calibri"/>
          <w:b/>
          <w:bCs/>
          <w:sz w:val="24"/>
          <w:szCs w:val="20"/>
          <w:lang w:val="en-GB"/>
        </w:rPr>
        <w:t>20</w:t>
      </w:r>
      <w:r w:rsidRPr="008F0D27">
        <w:rPr>
          <w:rFonts w:ascii="Calibri" w:eastAsia="Times" w:hAnsi="Calibri" w:cs="Calibri"/>
          <w:b/>
          <w:bCs/>
          <w:sz w:val="24"/>
          <w:szCs w:val="20"/>
          <w:lang w:val="en-GB"/>
        </w:rPr>
        <w:t xml:space="preserve"> November 2020</w:t>
      </w:r>
      <w:r w:rsidR="006B3C0B" w:rsidRPr="008F0D27">
        <w:rPr>
          <w:rFonts w:ascii="Calibri" w:eastAsia="Times" w:hAnsi="Calibri" w:cs="Calibri"/>
          <w:b/>
          <w:bCs/>
          <w:sz w:val="24"/>
          <w:szCs w:val="20"/>
          <w:lang w:val="en-GB"/>
        </w:rPr>
        <w:t xml:space="preserve"> by </w:t>
      </w:r>
      <w:r w:rsidR="008F0D27" w:rsidRPr="008F0D27">
        <w:rPr>
          <w:rFonts w:ascii="Calibri" w:eastAsia="Times" w:hAnsi="Calibri" w:cs="Calibri"/>
          <w:b/>
          <w:bCs/>
          <w:sz w:val="24"/>
          <w:szCs w:val="20"/>
          <w:lang w:val="en-GB"/>
        </w:rPr>
        <w:t>AVL</w:t>
      </w:r>
    </w:p>
    <w:p w14:paraId="0C99B628" w14:textId="77777777" w:rsidR="00C40CAE" w:rsidRDefault="000658FD" w:rsidP="00671368">
      <w:pPr>
        <w:tabs>
          <w:tab w:val="left" w:pos="884"/>
          <w:tab w:val="left" w:pos="1418"/>
          <w:tab w:val="left" w:pos="2551"/>
          <w:tab w:val="left" w:pos="3662"/>
          <w:tab w:val="left" w:pos="6213"/>
        </w:tabs>
        <w:spacing w:after="0" w:line="480" w:lineRule="auto"/>
        <w:ind w:right="226"/>
        <w:jc w:val="both"/>
        <w:rPr>
          <w:rFonts w:ascii="Calibri" w:eastAsia="Times" w:hAnsi="Calibri" w:cs="Calibri"/>
          <w:sz w:val="24"/>
          <w:szCs w:val="20"/>
          <w:lang w:val="en-GB"/>
        </w:rPr>
      </w:pPr>
      <w:r>
        <w:rPr>
          <w:rFonts w:ascii="Calibri" w:eastAsia="Times" w:hAnsi="Calibri" w:cs="Calibri"/>
          <w:b/>
          <w:sz w:val="24"/>
          <w:szCs w:val="20"/>
          <w:lang w:val="en-GB"/>
        </w:rPr>
        <w:t>MEMBERS</w:t>
      </w:r>
      <w:r>
        <w:rPr>
          <w:rFonts w:ascii="Calibri" w:eastAsia="Times" w:hAnsi="Calibri" w:cs="Calibri"/>
          <w:b/>
          <w:sz w:val="24"/>
          <w:szCs w:val="20"/>
          <w:lang w:val="en-GB"/>
        </w:rPr>
        <w:tab/>
      </w:r>
      <w:r>
        <w:rPr>
          <w:rFonts w:ascii="Calibri" w:eastAsia="Times" w:hAnsi="Calibri" w:cs="Calibri"/>
          <w:b/>
          <w:sz w:val="24"/>
          <w:szCs w:val="20"/>
          <w:lang w:val="en-GB"/>
        </w:rPr>
        <w:tab/>
      </w:r>
      <w:r>
        <w:rPr>
          <w:rFonts w:ascii="Calibri" w:eastAsia="Times" w:hAnsi="Calibri" w:cs="Calibri"/>
          <w:sz w:val="24"/>
          <w:szCs w:val="20"/>
          <w:lang w:val="en-GB"/>
        </w:rPr>
        <w:t>Ms J C Hughson (Chairperson)</w:t>
      </w:r>
    </w:p>
    <w:p w14:paraId="30DB4BB2" w14:textId="618E0BAE" w:rsidR="000658FD" w:rsidRDefault="00C40CAE" w:rsidP="00671368">
      <w:pPr>
        <w:tabs>
          <w:tab w:val="left" w:pos="884"/>
          <w:tab w:val="left" w:pos="1418"/>
          <w:tab w:val="left" w:pos="2551"/>
          <w:tab w:val="left" w:pos="3662"/>
          <w:tab w:val="left" w:pos="6213"/>
        </w:tabs>
        <w:spacing w:after="0" w:line="480" w:lineRule="auto"/>
        <w:ind w:right="227"/>
        <w:jc w:val="both"/>
        <w:rPr>
          <w:rFonts w:ascii="Calibri" w:eastAsia="Times" w:hAnsi="Calibri" w:cs="Calibri"/>
          <w:sz w:val="24"/>
          <w:szCs w:val="20"/>
          <w:lang w:val="en-GB"/>
        </w:rPr>
      </w:pPr>
      <w:r>
        <w:rPr>
          <w:rFonts w:ascii="Calibri" w:eastAsia="Times" w:hAnsi="Calibri" w:cs="Calibri"/>
          <w:sz w:val="24"/>
          <w:szCs w:val="20"/>
          <w:lang w:val="en-GB"/>
        </w:rPr>
        <w:tab/>
      </w:r>
      <w:r>
        <w:rPr>
          <w:rFonts w:ascii="Calibri" w:eastAsia="Times" w:hAnsi="Calibri" w:cs="Calibri"/>
          <w:sz w:val="24"/>
          <w:szCs w:val="20"/>
          <w:lang w:val="en-GB"/>
        </w:rPr>
        <w:tab/>
      </w:r>
      <w:r w:rsidR="000658FD">
        <w:rPr>
          <w:rFonts w:ascii="Calibri" w:eastAsia="Times" w:hAnsi="Calibri" w:cs="Calibri"/>
          <w:sz w:val="24"/>
          <w:szCs w:val="20"/>
          <w:lang w:val="en-GB"/>
        </w:rPr>
        <w:tab/>
      </w:r>
      <w:r w:rsidR="00B96F99">
        <w:rPr>
          <w:rFonts w:ascii="Calibri" w:eastAsia="Times" w:hAnsi="Calibri" w:cs="Calibri"/>
          <w:sz w:val="24"/>
          <w:szCs w:val="20"/>
          <w:lang w:val="en-GB"/>
        </w:rPr>
        <w:t>Mr P McGurk, Ms S Hunt, Ms S Jarvis</w:t>
      </w:r>
      <w:r w:rsidR="000658FD">
        <w:rPr>
          <w:rFonts w:ascii="Calibri" w:eastAsia="Times" w:hAnsi="Calibri" w:cs="Calibri"/>
          <w:sz w:val="24"/>
          <w:szCs w:val="20"/>
          <w:lang w:val="en-GB"/>
        </w:rPr>
        <w:t xml:space="preserve"> (registered social workers)</w:t>
      </w:r>
    </w:p>
    <w:p w14:paraId="400BE290" w14:textId="133BC039" w:rsidR="000658FD" w:rsidRDefault="000658FD" w:rsidP="00671368">
      <w:pPr>
        <w:tabs>
          <w:tab w:val="left" w:pos="2552"/>
        </w:tabs>
        <w:spacing w:after="0" w:line="480" w:lineRule="auto"/>
        <w:ind w:left="2552" w:hanging="2552"/>
        <w:rPr>
          <w:rFonts w:ascii="Calibri" w:eastAsia="Times" w:hAnsi="Calibri" w:cs="Calibri"/>
          <w:sz w:val="24"/>
          <w:szCs w:val="20"/>
          <w:lang w:val="en-GB"/>
        </w:rPr>
      </w:pPr>
      <w:r>
        <w:rPr>
          <w:rFonts w:ascii="Calibri" w:eastAsia="Times" w:hAnsi="Calibri" w:cs="Calibri"/>
          <w:sz w:val="24"/>
          <w:szCs w:val="20"/>
          <w:lang w:val="en-GB"/>
        </w:rPr>
        <w:tab/>
      </w:r>
      <w:r w:rsidR="00B96F99">
        <w:rPr>
          <w:rFonts w:ascii="Calibri" w:eastAsia="Times" w:hAnsi="Calibri" w:cs="Calibri"/>
          <w:sz w:val="24"/>
          <w:szCs w:val="20"/>
          <w:lang w:val="en-GB"/>
        </w:rPr>
        <w:t>Mr B Marra</w:t>
      </w:r>
      <w:r>
        <w:rPr>
          <w:rFonts w:ascii="Calibri" w:eastAsia="Times" w:hAnsi="Calibri" w:cs="Calibri"/>
          <w:sz w:val="24"/>
          <w:szCs w:val="20"/>
          <w:lang w:val="en-GB"/>
        </w:rPr>
        <w:t xml:space="preserve"> (layperson)</w:t>
      </w:r>
    </w:p>
    <w:p w14:paraId="6CA11DD7" w14:textId="7C02A176" w:rsidR="000658FD" w:rsidRDefault="000658FD" w:rsidP="00671368">
      <w:pPr>
        <w:tabs>
          <w:tab w:val="left" w:pos="2552"/>
        </w:tabs>
        <w:spacing w:after="0" w:line="480" w:lineRule="auto"/>
        <w:ind w:left="2552" w:hanging="2552"/>
        <w:rPr>
          <w:rFonts w:ascii="Calibri" w:eastAsia="Times" w:hAnsi="Calibri" w:cs="Calibri"/>
          <w:sz w:val="24"/>
          <w:szCs w:val="20"/>
          <w:lang w:val="en-GB"/>
        </w:rPr>
      </w:pPr>
    </w:p>
    <w:p w14:paraId="0BF91C7D" w14:textId="0EA47BF4" w:rsidR="000658FD" w:rsidRPr="000658FD" w:rsidRDefault="000658FD" w:rsidP="00671368">
      <w:pPr>
        <w:tabs>
          <w:tab w:val="left" w:pos="2552"/>
        </w:tabs>
        <w:spacing w:after="0" w:line="480" w:lineRule="auto"/>
        <w:ind w:left="2552" w:hanging="2552"/>
        <w:rPr>
          <w:rFonts w:ascii="Calibri" w:eastAsia="Times" w:hAnsi="Calibri" w:cs="Calibri"/>
          <w:sz w:val="24"/>
          <w:szCs w:val="20"/>
          <w:lang w:val="en-GB"/>
        </w:rPr>
      </w:pPr>
      <w:r w:rsidRPr="000658FD">
        <w:rPr>
          <w:rFonts w:ascii="Calibri" w:eastAsia="Times" w:hAnsi="Calibri" w:cs="Calibri"/>
          <w:b/>
          <w:bCs/>
          <w:sz w:val="24"/>
          <w:szCs w:val="20"/>
          <w:lang w:val="en-GB"/>
        </w:rPr>
        <w:t>IN ATTENDANCE</w:t>
      </w:r>
      <w:r>
        <w:rPr>
          <w:rFonts w:ascii="Calibri" w:eastAsia="Times" w:hAnsi="Calibri" w:cs="Calibri"/>
          <w:b/>
          <w:bCs/>
          <w:sz w:val="24"/>
          <w:szCs w:val="20"/>
          <w:lang w:val="en-GB"/>
        </w:rPr>
        <w:tab/>
      </w:r>
      <w:r w:rsidRPr="000658FD">
        <w:rPr>
          <w:rFonts w:ascii="Calibri" w:eastAsia="Times" w:hAnsi="Calibri" w:cs="Calibri"/>
          <w:sz w:val="24"/>
          <w:szCs w:val="20"/>
          <w:lang w:val="en-GB"/>
        </w:rPr>
        <w:t xml:space="preserve">Ms G </w:t>
      </w:r>
      <w:r>
        <w:rPr>
          <w:rFonts w:ascii="Calibri" w:eastAsia="Times" w:hAnsi="Calibri" w:cs="Calibri"/>
          <w:sz w:val="24"/>
          <w:szCs w:val="20"/>
          <w:lang w:val="en-GB"/>
        </w:rPr>
        <w:t xml:space="preserve">J </w:t>
      </w:r>
      <w:r w:rsidRPr="000658FD">
        <w:rPr>
          <w:rFonts w:ascii="Calibri" w:eastAsia="Times" w:hAnsi="Calibri" w:cs="Calibri"/>
          <w:sz w:val="24"/>
          <w:szCs w:val="20"/>
          <w:lang w:val="en-GB"/>
        </w:rPr>
        <w:t>Fraser (Hearing Officer)</w:t>
      </w:r>
    </w:p>
    <w:p w14:paraId="1FAC7E83" w14:textId="377E21E3" w:rsidR="000658FD" w:rsidRDefault="000658FD" w:rsidP="00671368">
      <w:pPr>
        <w:tabs>
          <w:tab w:val="left" w:pos="2552"/>
        </w:tabs>
        <w:spacing w:after="0" w:line="480" w:lineRule="auto"/>
        <w:ind w:left="2552" w:hanging="2552"/>
        <w:rPr>
          <w:rFonts w:ascii="Calibri" w:eastAsia="Times" w:hAnsi="Calibri" w:cs="Calibri"/>
          <w:sz w:val="24"/>
          <w:szCs w:val="20"/>
          <w:lang w:val="en-GB"/>
        </w:rPr>
      </w:pPr>
    </w:p>
    <w:p w14:paraId="7CE6C113" w14:textId="62AA1D6F" w:rsidR="000658FD" w:rsidRDefault="000658FD" w:rsidP="00671368">
      <w:pPr>
        <w:tabs>
          <w:tab w:val="left" w:pos="2552"/>
        </w:tabs>
        <w:spacing w:after="0" w:line="480" w:lineRule="auto"/>
        <w:ind w:left="2552" w:hanging="2552"/>
        <w:rPr>
          <w:rFonts w:ascii="Calibri" w:eastAsia="Times" w:hAnsi="Calibri" w:cs="Calibri"/>
          <w:sz w:val="24"/>
          <w:szCs w:val="20"/>
          <w:lang w:val="en-GB"/>
        </w:rPr>
      </w:pPr>
      <w:r>
        <w:rPr>
          <w:rFonts w:ascii="Calibri" w:eastAsia="Times" w:hAnsi="Calibri" w:cs="Calibri"/>
          <w:b/>
          <w:bCs/>
          <w:sz w:val="24"/>
          <w:szCs w:val="20"/>
          <w:lang w:val="en-GB"/>
        </w:rPr>
        <w:t>APPEARANCES</w:t>
      </w:r>
      <w:r>
        <w:rPr>
          <w:rFonts w:ascii="Calibri" w:eastAsia="Times" w:hAnsi="Calibri" w:cs="Calibri"/>
          <w:b/>
          <w:bCs/>
          <w:sz w:val="24"/>
          <w:szCs w:val="20"/>
          <w:lang w:val="en-GB"/>
        </w:rPr>
        <w:tab/>
      </w:r>
      <w:r>
        <w:rPr>
          <w:rFonts w:ascii="Calibri" w:eastAsia="Times" w:hAnsi="Calibri" w:cs="Calibri"/>
          <w:sz w:val="24"/>
          <w:szCs w:val="20"/>
          <w:lang w:val="en-GB"/>
        </w:rPr>
        <w:t>Ms C Paterson</w:t>
      </w:r>
      <w:r w:rsidR="004A44D4">
        <w:rPr>
          <w:rFonts w:ascii="Calibri" w:eastAsia="Times" w:hAnsi="Calibri" w:cs="Calibri"/>
          <w:sz w:val="24"/>
          <w:szCs w:val="20"/>
          <w:lang w:val="en-GB"/>
        </w:rPr>
        <w:t xml:space="preserve"> </w:t>
      </w:r>
      <w:r>
        <w:rPr>
          <w:rFonts w:ascii="Calibri" w:eastAsia="Times" w:hAnsi="Calibri" w:cs="Calibri"/>
          <w:sz w:val="24"/>
          <w:szCs w:val="20"/>
          <w:lang w:val="en-GB"/>
        </w:rPr>
        <w:t>for the Professional Conduct Committee</w:t>
      </w:r>
    </w:p>
    <w:p w14:paraId="3D4CC9F0" w14:textId="2FDD6255" w:rsidR="000658FD" w:rsidRDefault="000658FD" w:rsidP="00671368">
      <w:pPr>
        <w:tabs>
          <w:tab w:val="left" w:pos="2552"/>
        </w:tabs>
        <w:spacing w:after="0" w:line="480" w:lineRule="auto"/>
        <w:ind w:left="2552" w:hanging="2552"/>
        <w:rPr>
          <w:rFonts w:ascii="Calibri" w:eastAsia="Times" w:hAnsi="Calibri" w:cs="Calibri"/>
          <w:sz w:val="24"/>
          <w:szCs w:val="20"/>
          <w:lang w:val="en-GB"/>
        </w:rPr>
      </w:pPr>
      <w:r>
        <w:rPr>
          <w:rFonts w:ascii="Calibri" w:eastAsia="Times" w:hAnsi="Calibri" w:cs="Calibri"/>
          <w:b/>
          <w:bCs/>
          <w:sz w:val="24"/>
          <w:szCs w:val="20"/>
          <w:lang w:val="en-GB"/>
        </w:rPr>
        <w:tab/>
      </w:r>
      <w:r w:rsidRPr="000658FD">
        <w:rPr>
          <w:rFonts w:ascii="Calibri" w:eastAsia="Times" w:hAnsi="Calibri" w:cs="Calibri"/>
          <w:sz w:val="24"/>
          <w:szCs w:val="20"/>
          <w:lang w:val="en-GB"/>
        </w:rPr>
        <w:t>Mr D Dickinson for the practitioner</w:t>
      </w:r>
    </w:p>
    <w:p w14:paraId="22FF74E6" w14:textId="77777777" w:rsidR="000658FD" w:rsidRDefault="000658FD" w:rsidP="000658FD">
      <w:pPr>
        <w:spacing w:after="0" w:line="480" w:lineRule="auto"/>
        <w:jc w:val="both"/>
        <w:rPr>
          <w:rFonts w:ascii="Calibri" w:eastAsia="Arial Unicode MS" w:hAnsi="Calibri" w:cs="Calibri"/>
          <w:kern w:val="2"/>
          <w:sz w:val="24"/>
          <w:szCs w:val="24"/>
          <w:lang w:eastAsia="en-NZ"/>
        </w:rPr>
      </w:pPr>
      <w:r>
        <w:rPr>
          <w:rFonts w:ascii="Calibri" w:eastAsia="Arial Unicode MS" w:hAnsi="Calibri" w:cs="Calibri"/>
          <w:kern w:val="2"/>
          <w:sz w:val="24"/>
          <w:szCs w:val="24"/>
          <w:lang w:eastAsia="en-NZ"/>
        </w:rPr>
        <w:t>________________________________________________________________________________</w:t>
      </w:r>
    </w:p>
    <w:p w14:paraId="3D345314" w14:textId="6DBE24EA" w:rsidR="000658FD" w:rsidRDefault="00E35572" w:rsidP="00895B06">
      <w:pPr>
        <w:spacing w:after="0" w:line="240" w:lineRule="auto"/>
        <w:jc w:val="center"/>
        <w:rPr>
          <w:rFonts w:ascii="Calibri" w:eastAsia="Arial Unicode MS" w:hAnsi="Calibri" w:cs="Calibri"/>
          <w:b/>
          <w:kern w:val="2"/>
          <w:sz w:val="24"/>
          <w:szCs w:val="24"/>
          <w:lang w:eastAsia="en-NZ"/>
        </w:rPr>
      </w:pPr>
      <w:r>
        <w:rPr>
          <w:rFonts w:ascii="Calibri" w:eastAsia="Arial Unicode MS" w:hAnsi="Calibri" w:cs="Calibri"/>
          <w:b/>
          <w:kern w:val="2"/>
          <w:sz w:val="24"/>
          <w:szCs w:val="24"/>
          <w:lang w:eastAsia="en-NZ"/>
        </w:rPr>
        <w:t>DECISION</w:t>
      </w:r>
      <w:r w:rsidR="000658FD">
        <w:rPr>
          <w:rFonts w:ascii="Calibri" w:eastAsia="Arial Unicode MS" w:hAnsi="Calibri" w:cs="Calibri"/>
          <w:b/>
          <w:kern w:val="2"/>
          <w:sz w:val="24"/>
          <w:szCs w:val="24"/>
          <w:lang w:eastAsia="en-NZ"/>
        </w:rPr>
        <w:t xml:space="preserve"> ON JURISDICTION</w:t>
      </w:r>
    </w:p>
    <w:p w14:paraId="3ECA5802" w14:textId="77777777" w:rsidR="000658FD" w:rsidRDefault="000658FD" w:rsidP="00895B06">
      <w:pPr>
        <w:spacing w:after="0" w:line="240" w:lineRule="auto"/>
        <w:jc w:val="center"/>
        <w:rPr>
          <w:rFonts w:ascii="Calibri" w:eastAsia="Arial Unicode MS" w:hAnsi="Calibri" w:cs="Calibri"/>
          <w:b/>
          <w:kern w:val="2"/>
          <w:sz w:val="24"/>
          <w:szCs w:val="24"/>
          <w:lang w:eastAsia="en-NZ"/>
        </w:rPr>
      </w:pPr>
    </w:p>
    <w:p w14:paraId="1B63F099" w14:textId="427400AD" w:rsidR="000658FD" w:rsidRDefault="000658FD" w:rsidP="00895B06">
      <w:pPr>
        <w:spacing w:after="0" w:line="240" w:lineRule="auto"/>
        <w:jc w:val="center"/>
        <w:rPr>
          <w:rFonts w:ascii="Calibri" w:eastAsia="Arial Unicode MS" w:hAnsi="Calibri" w:cs="Calibri"/>
          <w:b/>
          <w:kern w:val="2"/>
          <w:sz w:val="24"/>
          <w:szCs w:val="24"/>
          <w:lang w:eastAsia="en-NZ"/>
        </w:rPr>
      </w:pPr>
      <w:r>
        <w:rPr>
          <w:rFonts w:ascii="Calibri" w:eastAsia="Arial Unicode MS" w:hAnsi="Calibri" w:cs="Calibri"/>
          <w:b/>
          <w:kern w:val="2"/>
          <w:sz w:val="24"/>
          <w:szCs w:val="24"/>
          <w:lang w:eastAsia="en-NZ"/>
        </w:rPr>
        <w:t xml:space="preserve">Dated </w:t>
      </w:r>
      <w:r w:rsidR="00895B06">
        <w:rPr>
          <w:rFonts w:ascii="Calibri" w:eastAsia="Arial Unicode MS" w:hAnsi="Calibri" w:cs="Calibri"/>
          <w:b/>
          <w:kern w:val="2"/>
          <w:sz w:val="24"/>
          <w:szCs w:val="24"/>
          <w:lang w:eastAsia="en-NZ"/>
        </w:rPr>
        <w:t>1 December</w:t>
      </w:r>
      <w:r>
        <w:rPr>
          <w:rFonts w:ascii="Calibri" w:eastAsia="Arial Unicode MS" w:hAnsi="Calibri" w:cs="Calibri"/>
          <w:b/>
          <w:kern w:val="2"/>
          <w:sz w:val="24"/>
          <w:szCs w:val="24"/>
          <w:lang w:eastAsia="en-NZ"/>
        </w:rPr>
        <w:t xml:space="preserve"> 2020</w:t>
      </w:r>
    </w:p>
    <w:p w14:paraId="6411D840" w14:textId="77777777" w:rsidR="000658FD" w:rsidRDefault="000658FD" w:rsidP="00895B06">
      <w:pPr>
        <w:spacing w:after="0" w:line="240" w:lineRule="auto"/>
        <w:jc w:val="both"/>
        <w:rPr>
          <w:rFonts w:ascii="Calibri" w:eastAsia="Arial Unicode MS" w:hAnsi="Calibri" w:cs="Calibri"/>
          <w:kern w:val="2"/>
          <w:sz w:val="24"/>
          <w:szCs w:val="24"/>
          <w:lang w:val="en-GB" w:eastAsia="en-NZ"/>
        </w:rPr>
      </w:pPr>
      <w:r>
        <w:rPr>
          <w:rFonts w:ascii="Calibri" w:eastAsia="Arial Unicode MS" w:hAnsi="Calibri" w:cs="Calibri"/>
          <w:kern w:val="2"/>
          <w:sz w:val="24"/>
          <w:szCs w:val="24"/>
          <w:lang w:eastAsia="en-NZ"/>
        </w:rPr>
        <w:t>________________________________________________________________________________</w:t>
      </w:r>
    </w:p>
    <w:p w14:paraId="07713C14" w14:textId="69CDF204" w:rsidR="000658FD" w:rsidRPr="00895B06" w:rsidRDefault="00895B06" w:rsidP="00895B06">
      <w:pPr>
        <w:tabs>
          <w:tab w:val="left" w:pos="2400"/>
        </w:tabs>
        <w:spacing w:after="0" w:line="480" w:lineRule="auto"/>
        <w:rPr>
          <w:rFonts w:ascii="Calibri" w:eastAsia="Arial Unicode MS" w:hAnsi="Calibri" w:cs="Calibri"/>
          <w:sz w:val="24"/>
          <w:szCs w:val="24"/>
          <w:lang w:val="en-GB" w:eastAsia="en-NZ"/>
        </w:rPr>
        <w:sectPr w:rsidR="000658FD" w:rsidRPr="00895B06">
          <w:headerReference w:type="default" r:id="rId8"/>
          <w:footerReference w:type="default" r:id="rId9"/>
          <w:pgSz w:w="11899" w:h="16838"/>
          <w:pgMar w:top="1440" w:right="829" w:bottom="360" w:left="1418" w:header="720" w:footer="0" w:gutter="0"/>
          <w:cols w:space="720"/>
        </w:sectPr>
      </w:pPr>
      <w:r>
        <w:rPr>
          <w:rFonts w:ascii="Calibri" w:eastAsia="Arial Unicode MS" w:hAnsi="Calibri" w:cs="Calibri"/>
          <w:kern w:val="2"/>
          <w:sz w:val="24"/>
          <w:szCs w:val="24"/>
          <w:lang w:val="en-GB" w:eastAsia="en-NZ"/>
        </w:rPr>
        <w:tab/>
      </w:r>
      <w:r>
        <w:rPr>
          <w:rFonts w:ascii="Calibri" w:eastAsia="Arial Unicode MS" w:hAnsi="Calibri" w:cs="Calibri"/>
          <w:sz w:val="24"/>
          <w:szCs w:val="24"/>
          <w:lang w:val="en-GB" w:eastAsia="en-NZ"/>
        </w:rPr>
        <w:tab/>
      </w:r>
    </w:p>
    <w:p w14:paraId="11C0A519" w14:textId="39639DE9" w:rsidR="000658FD" w:rsidRPr="000658FD" w:rsidRDefault="000658FD" w:rsidP="000658FD">
      <w:pPr>
        <w:tabs>
          <w:tab w:val="left" w:pos="2552"/>
        </w:tabs>
        <w:spacing w:after="0" w:line="240" w:lineRule="auto"/>
        <w:rPr>
          <w:rFonts w:ascii="Calibri" w:eastAsia="Times" w:hAnsi="Calibri" w:cs="Calibri"/>
          <w:b/>
          <w:sz w:val="24"/>
          <w:szCs w:val="20"/>
          <w:lang w:val="en-GB"/>
        </w:rPr>
      </w:pPr>
      <w:r>
        <w:rPr>
          <w:rFonts w:ascii="Calibri" w:eastAsia="Times" w:hAnsi="Calibri" w:cs="Calibri"/>
          <w:b/>
          <w:sz w:val="24"/>
          <w:szCs w:val="20"/>
          <w:lang w:val="en-GB"/>
        </w:rPr>
        <w:lastRenderedPageBreak/>
        <w:t>Introduction</w:t>
      </w:r>
    </w:p>
    <w:p w14:paraId="75D51C5B" w14:textId="77777777" w:rsidR="000658FD" w:rsidRDefault="000658FD" w:rsidP="000658FD">
      <w:pPr>
        <w:tabs>
          <w:tab w:val="left" w:pos="2552"/>
        </w:tabs>
        <w:spacing w:after="0" w:line="240" w:lineRule="auto"/>
        <w:rPr>
          <w:rFonts w:ascii="Calibri" w:eastAsia="Times" w:hAnsi="Calibri" w:cs="Calibri"/>
          <w:b/>
          <w:sz w:val="24"/>
          <w:szCs w:val="20"/>
          <w:lang w:val="en-GB"/>
        </w:rPr>
      </w:pPr>
    </w:p>
    <w:p w14:paraId="0BADC85F" w14:textId="6F9F61A5" w:rsidR="000658FD" w:rsidRPr="00DF471D" w:rsidRDefault="000658FD" w:rsidP="00671368">
      <w:pPr>
        <w:numPr>
          <w:ilvl w:val="0"/>
          <w:numId w:val="1"/>
        </w:numPr>
        <w:tabs>
          <w:tab w:val="left" w:pos="709"/>
        </w:tabs>
        <w:spacing w:after="0" w:line="360" w:lineRule="auto"/>
        <w:ind w:hanging="720"/>
        <w:jc w:val="both"/>
        <w:rPr>
          <w:rFonts w:ascii="Calibri" w:eastAsia="Times" w:hAnsi="Calibri" w:cs="Calibri"/>
          <w:b/>
          <w:sz w:val="24"/>
          <w:szCs w:val="20"/>
          <w:lang w:val="en-AU"/>
        </w:rPr>
      </w:pPr>
      <w:r>
        <w:rPr>
          <w:rFonts w:ascii="Calibri" w:eastAsia="Times" w:hAnsi="Calibri" w:cs="Calibri"/>
          <w:bCs/>
          <w:sz w:val="24"/>
          <w:szCs w:val="20"/>
          <w:lang w:val="en-GB"/>
        </w:rPr>
        <w:t>By Notice of Charge dated 6 August 2020 a Professional Conduct Committee (PCC) of the Social Workers Registration Board (the Board) charges the practitioner with conduct unbecoming a social worker that reflects adversely on her fitness to practise as a social worker pursuant to section 82(1)(b) of the Social Workers Registration Act 2003 (the SWR Act). Alternatively, the practitioner is charged with professional misconduct pursuant to section 82(1)(a) of the Act</w:t>
      </w:r>
      <w:r w:rsidR="00DF471D">
        <w:rPr>
          <w:rStyle w:val="FootnoteReference"/>
          <w:rFonts w:ascii="Calibri" w:eastAsia="Times" w:hAnsi="Calibri" w:cs="Calibri"/>
          <w:bCs/>
          <w:sz w:val="24"/>
          <w:szCs w:val="20"/>
          <w:lang w:val="en-GB"/>
        </w:rPr>
        <w:footnoteReference w:id="1"/>
      </w:r>
      <w:r>
        <w:rPr>
          <w:rFonts w:ascii="Calibri" w:eastAsia="Times" w:hAnsi="Calibri" w:cs="Calibri"/>
          <w:bCs/>
          <w:sz w:val="24"/>
          <w:szCs w:val="20"/>
          <w:lang w:val="en-GB"/>
        </w:rPr>
        <w:t>.</w:t>
      </w:r>
    </w:p>
    <w:p w14:paraId="2D7ECDF2" w14:textId="7CFE31E6" w:rsidR="00DF471D" w:rsidRPr="000658FD" w:rsidRDefault="00DF471D" w:rsidP="00E734D0">
      <w:pPr>
        <w:numPr>
          <w:ilvl w:val="0"/>
          <w:numId w:val="1"/>
        </w:numPr>
        <w:tabs>
          <w:tab w:val="left" w:pos="709"/>
        </w:tabs>
        <w:spacing w:after="0" w:line="360" w:lineRule="auto"/>
        <w:ind w:hanging="720"/>
        <w:jc w:val="both"/>
        <w:rPr>
          <w:rFonts w:ascii="Calibri" w:eastAsia="Times" w:hAnsi="Calibri" w:cs="Calibri"/>
          <w:bCs/>
          <w:sz w:val="24"/>
          <w:szCs w:val="20"/>
          <w:lang w:val="en-AU"/>
        </w:rPr>
      </w:pPr>
      <w:r>
        <w:rPr>
          <w:rFonts w:ascii="Calibri" w:eastAsia="Times" w:hAnsi="Calibri" w:cs="Calibri"/>
          <w:bCs/>
          <w:sz w:val="24"/>
          <w:szCs w:val="20"/>
          <w:lang w:val="en-GB"/>
        </w:rPr>
        <w:t xml:space="preserve">The Notice of Intention to Bring Disciplinary Proceedings dated 11 August 2020 sets out the </w:t>
      </w:r>
      <w:r w:rsidR="0033225D">
        <w:rPr>
          <w:rFonts w:ascii="Calibri" w:eastAsia="Times" w:hAnsi="Calibri" w:cs="Calibri"/>
          <w:bCs/>
          <w:sz w:val="24"/>
          <w:szCs w:val="20"/>
          <w:lang w:val="en-GB"/>
        </w:rPr>
        <w:t>C</w:t>
      </w:r>
      <w:r>
        <w:rPr>
          <w:rFonts w:ascii="Calibri" w:eastAsia="Times" w:hAnsi="Calibri" w:cs="Calibri"/>
          <w:bCs/>
          <w:sz w:val="24"/>
          <w:szCs w:val="20"/>
          <w:lang w:val="en-GB"/>
        </w:rPr>
        <w:t>harge as particularised in the following terms:</w:t>
      </w:r>
    </w:p>
    <w:p w14:paraId="24EC9AFD" w14:textId="77777777" w:rsidR="000658FD" w:rsidRDefault="000658FD" w:rsidP="000658FD">
      <w:pPr>
        <w:tabs>
          <w:tab w:val="left" w:pos="709"/>
        </w:tabs>
        <w:spacing w:after="0" w:line="240" w:lineRule="auto"/>
        <w:ind w:left="720"/>
        <w:rPr>
          <w:rFonts w:ascii="Calibri" w:eastAsia="Times" w:hAnsi="Calibri" w:cs="Calibri"/>
          <w:b/>
          <w:sz w:val="24"/>
          <w:szCs w:val="20"/>
          <w:lang w:val="en-GB"/>
        </w:rPr>
      </w:pPr>
    </w:p>
    <w:p w14:paraId="11913726" w14:textId="2C706632" w:rsidR="000658FD" w:rsidRPr="00DF471D" w:rsidRDefault="00DF471D" w:rsidP="00E734D0">
      <w:pPr>
        <w:tabs>
          <w:tab w:val="left" w:pos="709"/>
        </w:tabs>
        <w:spacing w:after="0" w:line="360" w:lineRule="auto"/>
        <w:ind w:left="720"/>
        <w:jc w:val="both"/>
        <w:rPr>
          <w:rFonts w:ascii="Calibri" w:eastAsia="Times" w:hAnsi="Calibri" w:cs="Calibri"/>
          <w:i/>
          <w:iCs/>
          <w:sz w:val="24"/>
          <w:szCs w:val="20"/>
          <w:lang w:val="en-GB"/>
        </w:rPr>
      </w:pPr>
      <w:r w:rsidRPr="00DF471D">
        <w:rPr>
          <w:rFonts w:ascii="Calibri" w:eastAsia="Times" w:hAnsi="Calibri" w:cs="Calibri"/>
          <w:i/>
          <w:iCs/>
          <w:sz w:val="24"/>
          <w:szCs w:val="20"/>
          <w:lang w:val="en-GB"/>
        </w:rPr>
        <w:t>“In particular:</w:t>
      </w:r>
    </w:p>
    <w:p w14:paraId="68BB3F18" w14:textId="72BA04A1" w:rsidR="00DF471D" w:rsidRPr="00DF471D" w:rsidRDefault="00DF471D" w:rsidP="00E734D0">
      <w:pPr>
        <w:pStyle w:val="ListParagraph"/>
        <w:numPr>
          <w:ilvl w:val="0"/>
          <w:numId w:val="3"/>
        </w:numPr>
        <w:tabs>
          <w:tab w:val="left" w:pos="709"/>
        </w:tabs>
        <w:spacing w:after="0" w:line="360" w:lineRule="auto"/>
        <w:jc w:val="both"/>
        <w:rPr>
          <w:rFonts w:ascii="Calibri" w:eastAsia="Times" w:hAnsi="Calibri" w:cs="Calibri"/>
          <w:i/>
          <w:iCs/>
          <w:sz w:val="24"/>
          <w:szCs w:val="20"/>
          <w:lang w:val="en-GB"/>
        </w:rPr>
      </w:pPr>
      <w:r w:rsidRPr="00DF471D">
        <w:rPr>
          <w:rFonts w:ascii="Calibri" w:eastAsia="Times" w:hAnsi="Calibri" w:cs="Calibri"/>
          <w:i/>
          <w:iCs/>
          <w:sz w:val="24"/>
          <w:szCs w:val="20"/>
          <w:lang w:val="en-GB"/>
        </w:rPr>
        <w:t xml:space="preserve">Between 2017 and 2018 </w:t>
      </w:r>
      <w:r w:rsidR="00403F87">
        <w:rPr>
          <w:rFonts w:ascii="Calibri" w:eastAsia="Times" w:hAnsi="Calibri" w:cs="Calibri"/>
          <w:i/>
          <w:iCs/>
          <w:sz w:val="24"/>
          <w:szCs w:val="20"/>
          <w:lang w:val="en-GB"/>
        </w:rPr>
        <w:t>[RSW X]</w:t>
      </w:r>
      <w:r w:rsidRPr="00DF471D">
        <w:rPr>
          <w:rFonts w:ascii="Calibri" w:eastAsia="Times" w:hAnsi="Calibri" w:cs="Calibri"/>
          <w:i/>
          <w:iCs/>
          <w:sz w:val="24"/>
          <w:szCs w:val="20"/>
          <w:lang w:val="en-GB"/>
        </w:rPr>
        <w:t xml:space="preserve"> created two fake identification cards representing that she was employed by Work and Income New Zealand and </w:t>
      </w:r>
      <w:proofErr w:type="spellStart"/>
      <w:r w:rsidRPr="00DF471D">
        <w:rPr>
          <w:rFonts w:ascii="Calibri" w:eastAsia="Times" w:hAnsi="Calibri" w:cs="Calibri"/>
          <w:i/>
          <w:iCs/>
          <w:sz w:val="24"/>
          <w:szCs w:val="20"/>
          <w:lang w:val="en-GB"/>
        </w:rPr>
        <w:t>Oranga</w:t>
      </w:r>
      <w:proofErr w:type="spellEnd"/>
      <w:r w:rsidRPr="00DF471D">
        <w:rPr>
          <w:rFonts w:ascii="Calibri" w:eastAsia="Times" w:hAnsi="Calibri" w:cs="Calibri"/>
          <w:i/>
          <w:iCs/>
          <w:sz w:val="24"/>
          <w:szCs w:val="20"/>
          <w:lang w:val="en-GB"/>
        </w:rPr>
        <w:t xml:space="preserve"> Tamariki (ID cards), when she was not in fact employed by either of those agencies; and/or</w:t>
      </w:r>
    </w:p>
    <w:p w14:paraId="24F54B16" w14:textId="296826F4" w:rsidR="00DF471D" w:rsidRPr="00DF471D" w:rsidRDefault="00DF471D" w:rsidP="00E734D0">
      <w:pPr>
        <w:pStyle w:val="ListParagraph"/>
        <w:numPr>
          <w:ilvl w:val="0"/>
          <w:numId w:val="3"/>
        </w:numPr>
        <w:tabs>
          <w:tab w:val="left" w:pos="709"/>
        </w:tabs>
        <w:spacing w:after="0" w:line="360" w:lineRule="auto"/>
        <w:jc w:val="both"/>
        <w:rPr>
          <w:rFonts w:ascii="Calibri" w:eastAsia="Times" w:hAnsi="Calibri" w:cs="Calibri"/>
          <w:i/>
          <w:iCs/>
          <w:sz w:val="24"/>
          <w:szCs w:val="20"/>
          <w:lang w:val="en-GB"/>
        </w:rPr>
      </w:pPr>
      <w:r w:rsidRPr="00DF471D">
        <w:rPr>
          <w:rFonts w:ascii="Calibri" w:eastAsia="Times" w:hAnsi="Calibri" w:cs="Calibri"/>
          <w:i/>
          <w:iCs/>
          <w:sz w:val="24"/>
          <w:szCs w:val="20"/>
          <w:lang w:val="en-GB"/>
        </w:rPr>
        <w:t xml:space="preserve">In or around July 2018, while attending </w:t>
      </w:r>
      <w:r w:rsidR="004C3E8F">
        <w:rPr>
          <w:rFonts w:ascii="Calibri" w:eastAsia="Times" w:hAnsi="Calibri" w:cs="Calibri"/>
          <w:i/>
          <w:iCs/>
          <w:sz w:val="24"/>
          <w:szCs w:val="20"/>
          <w:lang w:val="en-GB"/>
        </w:rPr>
        <w:t>[ ]</w:t>
      </w:r>
      <w:r w:rsidRPr="00DF471D">
        <w:rPr>
          <w:rFonts w:ascii="Calibri" w:eastAsia="Times" w:hAnsi="Calibri" w:cs="Calibri"/>
          <w:i/>
          <w:iCs/>
          <w:sz w:val="24"/>
          <w:szCs w:val="20"/>
          <w:lang w:val="en-GB"/>
        </w:rPr>
        <w:t xml:space="preserve"> Hospital outside of the hospital’s visiting hours to visit a client (as part of her social work practice as a social work practitioner at </w:t>
      </w:r>
      <w:r w:rsidR="004C3E8F">
        <w:rPr>
          <w:rFonts w:ascii="Calibri" w:eastAsia="Times" w:hAnsi="Calibri" w:cs="Calibri"/>
          <w:i/>
          <w:iCs/>
          <w:sz w:val="24"/>
          <w:szCs w:val="20"/>
          <w:lang w:val="en-GB"/>
        </w:rPr>
        <w:t>[ ]</w:t>
      </w:r>
      <w:r w:rsidRPr="00DF471D">
        <w:rPr>
          <w:rFonts w:ascii="Calibri" w:eastAsia="Times" w:hAnsi="Calibri" w:cs="Calibri"/>
          <w:i/>
          <w:iCs/>
          <w:sz w:val="24"/>
          <w:szCs w:val="20"/>
          <w:lang w:val="en-GB"/>
        </w:rPr>
        <w:t xml:space="preserve">), </w:t>
      </w:r>
      <w:r w:rsidR="00403F87">
        <w:rPr>
          <w:rFonts w:ascii="Calibri" w:eastAsia="Times" w:hAnsi="Calibri" w:cs="Calibri"/>
          <w:i/>
          <w:iCs/>
          <w:sz w:val="24"/>
          <w:szCs w:val="20"/>
          <w:lang w:val="en-GB"/>
        </w:rPr>
        <w:t>[RSW X]</w:t>
      </w:r>
      <w:r w:rsidRPr="00DF471D">
        <w:rPr>
          <w:rFonts w:ascii="Calibri" w:eastAsia="Times" w:hAnsi="Calibri" w:cs="Calibri"/>
          <w:i/>
          <w:iCs/>
          <w:sz w:val="24"/>
          <w:szCs w:val="20"/>
          <w:lang w:val="en-GB"/>
        </w:rPr>
        <w:t xml:space="preserve"> displayed the ID cards on a lanyard around her neck; and/or</w:t>
      </w:r>
    </w:p>
    <w:p w14:paraId="0B9539FE" w14:textId="11D96169" w:rsidR="00DF471D" w:rsidRDefault="00DF471D" w:rsidP="00E734D0">
      <w:pPr>
        <w:pStyle w:val="ListParagraph"/>
        <w:numPr>
          <w:ilvl w:val="0"/>
          <w:numId w:val="3"/>
        </w:numPr>
        <w:tabs>
          <w:tab w:val="left" w:pos="709"/>
        </w:tabs>
        <w:spacing w:after="0" w:line="360" w:lineRule="auto"/>
        <w:jc w:val="both"/>
        <w:rPr>
          <w:rFonts w:ascii="Calibri" w:eastAsia="Times" w:hAnsi="Calibri" w:cs="Calibri"/>
          <w:i/>
          <w:iCs/>
          <w:sz w:val="24"/>
          <w:szCs w:val="20"/>
          <w:lang w:val="en-GB"/>
        </w:rPr>
      </w:pPr>
      <w:r w:rsidRPr="00DF471D">
        <w:rPr>
          <w:rFonts w:ascii="Calibri" w:eastAsia="Times" w:hAnsi="Calibri" w:cs="Calibri"/>
          <w:i/>
          <w:iCs/>
          <w:sz w:val="24"/>
          <w:szCs w:val="20"/>
          <w:lang w:val="en-GB"/>
        </w:rPr>
        <w:t xml:space="preserve">During the above hospital visit, </w:t>
      </w:r>
      <w:r w:rsidR="00ED4098">
        <w:rPr>
          <w:rFonts w:ascii="Calibri" w:eastAsia="Times" w:hAnsi="Calibri" w:cs="Calibri"/>
          <w:i/>
          <w:iCs/>
          <w:sz w:val="24"/>
          <w:szCs w:val="20"/>
          <w:lang w:val="en-GB"/>
        </w:rPr>
        <w:t xml:space="preserve">[RSW X] </w:t>
      </w:r>
      <w:r w:rsidRPr="00DF471D">
        <w:rPr>
          <w:rFonts w:ascii="Calibri" w:eastAsia="Times" w:hAnsi="Calibri" w:cs="Calibri"/>
          <w:i/>
          <w:iCs/>
          <w:sz w:val="24"/>
          <w:szCs w:val="20"/>
          <w:lang w:val="en-GB"/>
        </w:rPr>
        <w:t xml:space="preserve">did not correct a charge nurse who stated that </w:t>
      </w:r>
      <w:r w:rsidR="009F32D5">
        <w:rPr>
          <w:rFonts w:ascii="Calibri" w:eastAsia="Times" w:hAnsi="Calibri" w:cs="Calibri"/>
          <w:i/>
          <w:iCs/>
          <w:sz w:val="24"/>
          <w:szCs w:val="20"/>
          <w:lang w:val="en-GB"/>
        </w:rPr>
        <w:t xml:space="preserve">[RSW X] </w:t>
      </w:r>
      <w:r w:rsidRPr="00DF471D">
        <w:rPr>
          <w:rFonts w:ascii="Calibri" w:eastAsia="Times" w:hAnsi="Calibri" w:cs="Calibri"/>
          <w:i/>
          <w:iCs/>
          <w:sz w:val="24"/>
          <w:szCs w:val="20"/>
          <w:lang w:val="en-GB"/>
        </w:rPr>
        <w:t xml:space="preserve">was from </w:t>
      </w:r>
      <w:proofErr w:type="spellStart"/>
      <w:r w:rsidRPr="00DF471D">
        <w:rPr>
          <w:rFonts w:ascii="Calibri" w:eastAsia="Times" w:hAnsi="Calibri" w:cs="Calibri"/>
          <w:i/>
          <w:iCs/>
          <w:sz w:val="24"/>
          <w:szCs w:val="20"/>
          <w:lang w:val="en-GB"/>
        </w:rPr>
        <w:t>Oranga</w:t>
      </w:r>
      <w:proofErr w:type="spellEnd"/>
      <w:r w:rsidRPr="00DF471D">
        <w:rPr>
          <w:rFonts w:ascii="Calibri" w:eastAsia="Times" w:hAnsi="Calibri" w:cs="Calibri"/>
          <w:i/>
          <w:iCs/>
          <w:sz w:val="24"/>
          <w:szCs w:val="20"/>
          <w:lang w:val="en-GB"/>
        </w:rPr>
        <w:t xml:space="preserve"> Tamariki.</w:t>
      </w:r>
    </w:p>
    <w:p w14:paraId="7B87FF3A" w14:textId="77777777" w:rsidR="00DF471D" w:rsidRDefault="00DF471D" w:rsidP="00DF471D">
      <w:pPr>
        <w:pStyle w:val="ListParagraph"/>
        <w:tabs>
          <w:tab w:val="left" w:pos="709"/>
        </w:tabs>
        <w:spacing w:after="0" w:line="360" w:lineRule="auto"/>
        <w:ind w:left="1080"/>
        <w:rPr>
          <w:rFonts w:ascii="Calibri" w:eastAsia="Times" w:hAnsi="Calibri" w:cs="Calibri"/>
          <w:i/>
          <w:iCs/>
          <w:sz w:val="24"/>
          <w:szCs w:val="20"/>
          <w:lang w:val="en-GB"/>
        </w:rPr>
      </w:pPr>
    </w:p>
    <w:p w14:paraId="0AFD63A8" w14:textId="5B7AC01A" w:rsidR="000658FD" w:rsidRDefault="00DF471D" w:rsidP="00E54671">
      <w:pPr>
        <w:tabs>
          <w:tab w:val="left" w:pos="709"/>
        </w:tabs>
        <w:spacing w:after="0" w:line="360" w:lineRule="auto"/>
        <w:ind w:left="720"/>
        <w:jc w:val="both"/>
        <w:rPr>
          <w:rFonts w:ascii="Calibri" w:eastAsia="Times" w:hAnsi="Calibri" w:cs="Calibri"/>
          <w:i/>
          <w:iCs/>
          <w:sz w:val="24"/>
          <w:szCs w:val="20"/>
          <w:lang w:val="en-GB"/>
        </w:rPr>
      </w:pPr>
      <w:r>
        <w:rPr>
          <w:rFonts w:ascii="Calibri" w:eastAsia="Times" w:hAnsi="Calibri" w:cs="Calibri"/>
          <w:i/>
          <w:iCs/>
          <w:sz w:val="24"/>
          <w:szCs w:val="20"/>
          <w:lang w:val="en-GB"/>
        </w:rPr>
        <w:t xml:space="preserve">The nature and extent of </w:t>
      </w:r>
      <w:r w:rsidR="00035F22">
        <w:rPr>
          <w:rFonts w:ascii="Calibri" w:eastAsia="Times" w:hAnsi="Calibri" w:cs="Calibri"/>
          <w:i/>
          <w:iCs/>
          <w:sz w:val="24"/>
          <w:szCs w:val="20"/>
          <w:lang w:val="en-GB"/>
        </w:rPr>
        <w:t>[RSW</w:t>
      </w:r>
      <w:r w:rsidR="001F0FFB">
        <w:rPr>
          <w:rFonts w:ascii="Calibri" w:eastAsia="Times" w:hAnsi="Calibri" w:cs="Calibri"/>
          <w:i/>
          <w:iCs/>
          <w:sz w:val="24"/>
          <w:szCs w:val="20"/>
          <w:lang w:val="en-GB"/>
        </w:rPr>
        <w:t xml:space="preserve"> X’s] </w:t>
      </w:r>
      <w:r>
        <w:rPr>
          <w:rFonts w:ascii="Calibri" w:eastAsia="Times" w:hAnsi="Calibri" w:cs="Calibri"/>
          <w:i/>
          <w:iCs/>
          <w:sz w:val="24"/>
          <w:szCs w:val="20"/>
          <w:lang w:val="en-GB"/>
        </w:rPr>
        <w:t>conduct, as set out above, reflects adversely on her fitness to practise as a social worker and/or breached Principles 1 and/or 9 of the Code of Conduct issued by the Social Workers Registration Board pursuant to section 105 of the Act.</w:t>
      </w:r>
    </w:p>
    <w:p w14:paraId="4CA192B7" w14:textId="77777777" w:rsidR="00E35572" w:rsidRPr="00E54671" w:rsidRDefault="00E35572" w:rsidP="00E35572">
      <w:pPr>
        <w:tabs>
          <w:tab w:val="left" w:pos="709"/>
        </w:tabs>
        <w:spacing w:after="0" w:line="360" w:lineRule="auto"/>
        <w:jc w:val="both"/>
        <w:rPr>
          <w:rFonts w:ascii="Calibri" w:eastAsia="Times" w:hAnsi="Calibri" w:cs="Calibri"/>
          <w:i/>
          <w:iCs/>
          <w:sz w:val="24"/>
          <w:szCs w:val="20"/>
          <w:lang w:val="en-GB"/>
        </w:rPr>
      </w:pPr>
    </w:p>
    <w:p w14:paraId="63C0E20C" w14:textId="27BE33FB" w:rsidR="0079399B" w:rsidRPr="00E54671" w:rsidRDefault="0079399B" w:rsidP="00E54671">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GB"/>
        </w:rPr>
        <w:t xml:space="preserve">At a pre-hearing conference held on Thursday, 17 September 2020 the </w:t>
      </w:r>
      <w:r w:rsidR="0033225D">
        <w:rPr>
          <w:rFonts w:ascii="Calibri" w:eastAsia="Times" w:hAnsi="Calibri" w:cs="Calibri"/>
          <w:bCs/>
          <w:sz w:val="24"/>
          <w:szCs w:val="20"/>
          <w:lang w:val="en-GB"/>
        </w:rPr>
        <w:t>C</w:t>
      </w:r>
      <w:r>
        <w:rPr>
          <w:rFonts w:ascii="Calibri" w:eastAsia="Times" w:hAnsi="Calibri" w:cs="Calibri"/>
          <w:bCs/>
          <w:sz w:val="24"/>
          <w:szCs w:val="20"/>
          <w:lang w:val="en-GB"/>
        </w:rPr>
        <w:t>harge was set down for hearing in Auckland on Thursday, 19 November 2020</w:t>
      </w:r>
      <w:r w:rsidR="00A4443B">
        <w:rPr>
          <w:rStyle w:val="FootnoteReference"/>
          <w:rFonts w:ascii="Calibri" w:eastAsia="Times" w:hAnsi="Calibri" w:cs="Calibri"/>
          <w:bCs/>
          <w:sz w:val="24"/>
          <w:szCs w:val="20"/>
          <w:lang w:val="en-GB"/>
        </w:rPr>
        <w:footnoteReference w:id="2"/>
      </w:r>
      <w:r>
        <w:rPr>
          <w:rFonts w:ascii="Calibri" w:eastAsia="Times" w:hAnsi="Calibri" w:cs="Calibri"/>
          <w:bCs/>
          <w:sz w:val="24"/>
          <w:szCs w:val="20"/>
          <w:lang w:val="en-GB"/>
        </w:rPr>
        <w:t xml:space="preserve">. Counsel for the practitioner indicated that the practitioner wished to apply for an interim non-publication order in respect of her name. Counsel for the practitioner was directed to </w:t>
      </w:r>
      <w:r>
        <w:rPr>
          <w:rFonts w:ascii="Calibri" w:eastAsia="Times" w:hAnsi="Calibri" w:cs="Calibri"/>
          <w:bCs/>
          <w:sz w:val="24"/>
          <w:szCs w:val="20"/>
          <w:lang w:val="en-GB"/>
        </w:rPr>
        <w:lastRenderedPageBreak/>
        <w:t xml:space="preserve">file an application supported by evidence and a memorandum of counsel. Counsel for the PCC indicated that a non-publication </w:t>
      </w:r>
      <w:r w:rsidR="0056093C">
        <w:rPr>
          <w:rFonts w:ascii="Calibri" w:eastAsia="Times" w:hAnsi="Calibri" w:cs="Calibri"/>
          <w:bCs/>
          <w:sz w:val="24"/>
          <w:szCs w:val="20"/>
          <w:lang w:val="en-GB"/>
        </w:rPr>
        <w:t xml:space="preserve">order </w:t>
      </w:r>
      <w:r>
        <w:rPr>
          <w:rFonts w:ascii="Calibri" w:eastAsia="Times" w:hAnsi="Calibri" w:cs="Calibri"/>
          <w:bCs/>
          <w:sz w:val="24"/>
          <w:szCs w:val="20"/>
          <w:lang w:val="en-GB"/>
        </w:rPr>
        <w:t>was sought for the junior social worker who was said to work for the practitioner at the relevant time. The PCC was also directed to file an application, supported by evidence and/or a memorandum of counsel. The applications were filed and were referred to the Chairperson for consideration. The Chairperson convened a full Tribunal to hear the applications on Friday, 16 October 2020.</w:t>
      </w:r>
      <w:r w:rsidR="00D127DD">
        <w:rPr>
          <w:rFonts w:ascii="Calibri" w:eastAsia="Times" w:hAnsi="Calibri" w:cs="Calibri"/>
          <w:bCs/>
          <w:sz w:val="24"/>
          <w:szCs w:val="20"/>
          <w:lang w:val="en-GB"/>
        </w:rPr>
        <w:t xml:space="preserve"> Interim non-publication orders were made in respect of both the junior social worker and the practitioner</w:t>
      </w:r>
      <w:r w:rsidR="00D127DD">
        <w:rPr>
          <w:rStyle w:val="FootnoteReference"/>
          <w:rFonts w:ascii="Calibri" w:eastAsia="Times" w:hAnsi="Calibri" w:cs="Calibri"/>
          <w:bCs/>
          <w:sz w:val="24"/>
          <w:szCs w:val="20"/>
          <w:lang w:val="en-GB"/>
        </w:rPr>
        <w:footnoteReference w:id="3"/>
      </w:r>
      <w:r w:rsidR="00D127DD">
        <w:rPr>
          <w:rFonts w:ascii="Calibri" w:eastAsia="Times" w:hAnsi="Calibri" w:cs="Calibri"/>
          <w:bCs/>
          <w:sz w:val="24"/>
          <w:szCs w:val="20"/>
          <w:lang w:val="en-GB"/>
        </w:rPr>
        <w:t>.</w:t>
      </w:r>
    </w:p>
    <w:p w14:paraId="3A20CE48" w14:textId="31A9F172" w:rsidR="00E734D0" w:rsidRPr="00043389" w:rsidRDefault="0079399B" w:rsidP="00043389">
      <w:pPr>
        <w:numPr>
          <w:ilvl w:val="0"/>
          <w:numId w:val="1"/>
        </w:numPr>
        <w:tabs>
          <w:tab w:val="left" w:pos="567"/>
        </w:tabs>
        <w:spacing w:after="0" w:line="360" w:lineRule="auto"/>
        <w:ind w:left="567" w:hanging="567"/>
        <w:jc w:val="both"/>
        <w:rPr>
          <w:rFonts w:ascii="Calibri" w:eastAsia="Times" w:hAnsi="Calibri" w:cs="Calibri"/>
          <w:b/>
          <w:sz w:val="24"/>
          <w:szCs w:val="20"/>
          <w:lang w:val="en-AU"/>
        </w:rPr>
      </w:pPr>
      <w:r>
        <w:rPr>
          <w:rFonts w:ascii="Calibri" w:eastAsia="Times" w:hAnsi="Calibri" w:cs="Calibri"/>
          <w:bCs/>
          <w:sz w:val="24"/>
          <w:szCs w:val="20"/>
          <w:lang w:val="en-GB"/>
        </w:rPr>
        <w:t xml:space="preserve">When preparing for that hearing the Chairperson searched the register entry of the practitioner as it appears currently on the Register published online on the website of the Social Workers Registration Board. </w:t>
      </w:r>
      <w:r>
        <w:rPr>
          <w:rFonts w:ascii="Calibri" w:eastAsia="Times" w:hAnsi="Calibri" w:cs="Calibri"/>
          <w:bCs/>
          <w:sz w:val="24"/>
          <w:szCs w:val="20"/>
          <w:lang w:val="en-AU"/>
        </w:rPr>
        <w:t xml:space="preserve">The Chairperson did so because annexed to a Memorandum of Counsel for the PCC </w:t>
      </w:r>
      <w:r w:rsidR="00E734D0">
        <w:rPr>
          <w:rFonts w:ascii="Calibri" w:eastAsia="Times" w:hAnsi="Calibri" w:cs="Calibri"/>
          <w:bCs/>
          <w:sz w:val="24"/>
          <w:szCs w:val="20"/>
          <w:lang w:val="en-AU"/>
        </w:rPr>
        <w:t>filed in support of the PCC’</w:t>
      </w:r>
      <w:r w:rsidR="00E734D0" w:rsidRPr="00043389">
        <w:rPr>
          <w:rFonts w:ascii="Calibri" w:eastAsia="Times" w:hAnsi="Calibri" w:cs="Calibri"/>
          <w:bCs/>
          <w:sz w:val="24"/>
          <w:szCs w:val="20"/>
          <w:lang w:val="en-AU"/>
        </w:rPr>
        <w:t>s application for a non-publication order in respect of the junior social worker</w:t>
      </w:r>
      <w:r w:rsidR="00E734D0">
        <w:rPr>
          <w:rStyle w:val="FootnoteReference"/>
          <w:rFonts w:ascii="Calibri" w:eastAsia="Times" w:hAnsi="Calibri" w:cs="Calibri"/>
          <w:bCs/>
          <w:sz w:val="24"/>
          <w:szCs w:val="20"/>
          <w:lang w:val="en-AU"/>
        </w:rPr>
        <w:footnoteReference w:id="4"/>
      </w:r>
      <w:r w:rsidR="00E734D0" w:rsidRPr="00043389">
        <w:rPr>
          <w:rFonts w:ascii="Calibri" w:eastAsia="Times" w:hAnsi="Calibri" w:cs="Calibri"/>
          <w:bCs/>
          <w:sz w:val="24"/>
          <w:szCs w:val="20"/>
          <w:lang w:val="en-AU"/>
        </w:rPr>
        <w:t xml:space="preserve"> was an excerpt from a</w:t>
      </w:r>
      <w:r w:rsidRPr="00043389">
        <w:rPr>
          <w:rFonts w:ascii="Calibri" w:eastAsia="Times" w:hAnsi="Calibri" w:cs="Calibri"/>
          <w:bCs/>
          <w:sz w:val="24"/>
          <w:szCs w:val="20"/>
          <w:lang w:val="en-AU"/>
        </w:rPr>
        <w:t xml:space="preserve"> transcript of an interview (conducted by the PCC during its investigation) with </w:t>
      </w:r>
      <w:r w:rsidR="004C3E8F">
        <w:rPr>
          <w:rFonts w:ascii="Calibri" w:eastAsia="Times" w:hAnsi="Calibri" w:cs="Calibri"/>
          <w:bCs/>
          <w:sz w:val="24"/>
          <w:szCs w:val="20"/>
          <w:lang w:val="en-AU"/>
        </w:rPr>
        <w:t>[</w:t>
      </w:r>
      <w:r w:rsidRPr="00043389">
        <w:rPr>
          <w:rFonts w:ascii="Calibri" w:eastAsia="Times" w:hAnsi="Calibri" w:cs="Calibri"/>
          <w:bCs/>
          <w:sz w:val="24"/>
          <w:szCs w:val="20"/>
          <w:lang w:val="en-AU"/>
        </w:rPr>
        <w:t xml:space="preserve">Mr </w:t>
      </w:r>
      <w:r w:rsidR="004C3E8F">
        <w:rPr>
          <w:rFonts w:ascii="Calibri" w:eastAsia="Times" w:hAnsi="Calibri" w:cs="Calibri"/>
          <w:bCs/>
          <w:sz w:val="24"/>
          <w:szCs w:val="20"/>
          <w:lang w:val="en-AU"/>
        </w:rPr>
        <w:t>L]</w:t>
      </w:r>
      <w:r w:rsidR="00E734D0" w:rsidRPr="00043389">
        <w:rPr>
          <w:rFonts w:ascii="Calibri" w:eastAsia="Times" w:hAnsi="Calibri" w:cs="Calibri"/>
          <w:bCs/>
          <w:sz w:val="24"/>
          <w:szCs w:val="20"/>
          <w:lang w:val="en-AU"/>
        </w:rPr>
        <w:t xml:space="preserve"> to whom the junior social worker </w:t>
      </w:r>
      <w:r w:rsidR="00D127DD" w:rsidRPr="00043389">
        <w:rPr>
          <w:rFonts w:ascii="Calibri" w:eastAsia="Times" w:hAnsi="Calibri" w:cs="Calibri"/>
          <w:bCs/>
          <w:sz w:val="24"/>
          <w:szCs w:val="20"/>
          <w:lang w:val="en-AU"/>
        </w:rPr>
        <w:t xml:space="preserve">first </w:t>
      </w:r>
      <w:r w:rsidR="00E734D0" w:rsidRPr="00043389">
        <w:rPr>
          <w:rFonts w:ascii="Calibri" w:eastAsia="Times" w:hAnsi="Calibri" w:cs="Calibri"/>
          <w:bCs/>
          <w:sz w:val="24"/>
          <w:szCs w:val="20"/>
          <w:lang w:val="en-AU"/>
        </w:rPr>
        <w:t xml:space="preserve">reported her concerns about the practitioner. In that transcript it is recorded that </w:t>
      </w:r>
      <w:r w:rsidR="00E734D0" w:rsidRPr="00043389">
        <w:rPr>
          <w:rFonts w:ascii="Calibri" w:eastAsia="Times" w:hAnsi="Calibri" w:cs="Calibri"/>
          <w:bCs/>
          <w:i/>
          <w:iCs/>
          <w:sz w:val="24"/>
          <w:szCs w:val="20"/>
          <w:lang w:val="en-AU"/>
        </w:rPr>
        <w:t>“[junior social worker’s] original concern was around the fact that [the practitioner] wasn’t a registered social worker</w:t>
      </w:r>
      <w:r w:rsidR="00E734D0" w:rsidRPr="00043389">
        <w:rPr>
          <w:rFonts w:ascii="Calibri" w:eastAsia="Times" w:hAnsi="Calibri" w:cs="Calibri"/>
          <w:b/>
          <w:sz w:val="24"/>
          <w:szCs w:val="20"/>
          <w:lang w:val="en-AU"/>
        </w:rPr>
        <w:t xml:space="preserve">”. </w:t>
      </w:r>
    </w:p>
    <w:p w14:paraId="26632796" w14:textId="086A2577" w:rsidR="00D127DD" w:rsidRPr="00E54671" w:rsidRDefault="000658FD" w:rsidP="00E54671">
      <w:pPr>
        <w:numPr>
          <w:ilvl w:val="0"/>
          <w:numId w:val="1"/>
        </w:numPr>
        <w:tabs>
          <w:tab w:val="left" w:pos="567"/>
        </w:tabs>
        <w:spacing w:after="0" w:line="360" w:lineRule="auto"/>
        <w:ind w:left="567" w:hanging="567"/>
        <w:jc w:val="both"/>
        <w:rPr>
          <w:rFonts w:ascii="Calibri" w:eastAsia="Times" w:hAnsi="Calibri" w:cs="Calibri"/>
          <w:b/>
          <w:sz w:val="24"/>
          <w:szCs w:val="20"/>
          <w:lang w:val="en-AU"/>
        </w:rPr>
      </w:pPr>
      <w:r w:rsidRPr="00E734D0">
        <w:rPr>
          <w:rFonts w:ascii="Calibri" w:eastAsia="Times" w:hAnsi="Calibri" w:cs="Calibri"/>
          <w:bCs/>
          <w:sz w:val="24"/>
          <w:szCs w:val="20"/>
          <w:lang w:val="en-AU"/>
        </w:rPr>
        <w:t xml:space="preserve">The </w:t>
      </w:r>
      <w:r w:rsidR="00E734D0">
        <w:rPr>
          <w:rFonts w:ascii="Calibri" w:eastAsia="Times" w:hAnsi="Calibri" w:cs="Calibri"/>
          <w:bCs/>
          <w:sz w:val="24"/>
          <w:szCs w:val="20"/>
          <w:lang w:val="en-AU"/>
        </w:rPr>
        <w:t>R</w:t>
      </w:r>
      <w:r w:rsidRPr="00E734D0">
        <w:rPr>
          <w:rFonts w:ascii="Calibri" w:eastAsia="Times" w:hAnsi="Calibri" w:cs="Calibri"/>
          <w:bCs/>
          <w:sz w:val="24"/>
          <w:szCs w:val="20"/>
          <w:lang w:val="en-AU"/>
        </w:rPr>
        <w:t xml:space="preserve">egister entry records that the practitioner was first registered </w:t>
      </w:r>
      <w:r w:rsidR="00E734D0">
        <w:rPr>
          <w:rFonts w:ascii="Calibri" w:eastAsia="Times" w:hAnsi="Calibri" w:cs="Calibri"/>
          <w:bCs/>
          <w:sz w:val="24"/>
          <w:szCs w:val="20"/>
          <w:lang w:val="en-AU"/>
        </w:rPr>
        <w:t xml:space="preserve">with the Board </w:t>
      </w:r>
      <w:r w:rsidRPr="00E734D0">
        <w:rPr>
          <w:rFonts w:ascii="Calibri" w:eastAsia="Times" w:hAnsi="Calibri" w:cs="Calibri"/>
          <w:bCs/>
          <w:sz w:val="24"/>
          <w:szCs w:val="20"/>
          <w:lang w:val="en-AU"/>
        </w:rPr>
        <w:t>on 26 October 2018.</w:t>
      </w:r>
    </w:p>
    <w:p w14:paraId="7E8CA5A8" w14:textId="27839905" w:rsidR="00D127DD" w:rsidRPr="00E54671" w:rsidRDefault="00D127DD" w:rsidP="00D127DD">
      <w:pPr>
        <w:numPr>
          <w:ilvl w:val="0"/>
          <w:numId w:val="1"/>
        </w:numPr>
        <w:tabs>
          <w:tab w:val="left" w:pos="567"/>
        </w:tabs>
        <w:spacing w:after="0" w:line="360" w:lineRule="auto"/>
        <w:ind w:left="567" w:hanging="567"/>
        <w:jc w:val="both"/>
        <w:rPr>
          <w:rFonts w:ascii="Calibri" w:eastAsia="Times" w:hAnsi="Calibri" w:cs="Calibri"/>
          <w:b/>
          <w:sz w:val="24"/>
          <w:szCs w:val="20"/>
          <w:lang w:val="en-AU"/>
        </w:rPr>
      </w:pPr>
      <w:r>
        <w:rPr>
          <w:rFonts w:ascii="Calibri" w:eastAsia="Times" w:hAnsi="Calibri" w:cs="Calibri"/>
          <w:bCs/>
          <w:sz w:val="24"/>
          <w:szCs w:val="20"/>
          <w:lang w:val="en-AU"/>
        </w:rPr>
        <w:t xml:space="preserve">As above, </w:t>
      </w:r>
      <w:r w:rsidR="004A3C89">
        <w:rPr>
          <w:rFonts w:ascii="Calibri" w:eastAsia="Times" w:hAnsi="Calibri" w:cs="Calibri"/>
          <w:bCs/>
          <w:sz w:val="24"/>
          <w:szCs w:val="20"/>
          <w:lang w:val="en-AU"/>
        </w:rPr>
        <w:t>the C</w:t>
      </w:r>
      <w:r w:rsidR="000658FD" w:rsidRPr="00D127DD">
        <w:rPr>
          <w:rFonts w:ascii="Calibri" w:eastAsia="Times" w:hAnsi="Calibri" w:cs="Calibri"/>
          <w:bCs/>
          <w:sz w:val="24"/>
          <w:szCs w:val="20"/>
          <w:lang w:val="en-AU"/>
        </w:rPr>
        <w:t>harge alleges that the practitioner committed acts “between 2017 and 2018” (the creation of two fake identification cards) and in “July 2018” (displaying the identification cards when visiting Waitakere Hospital and not correcting a charge nurse who stated that the practitioner was from Oranga Tamariki). These</w:t>
      </w:r>
      <w:r w:rsidR="007E4AD6">
        <w:rPr>
          <w:rFonts w:ascii="Calibri" w:eastAsia="Times" w:hAnsi="Calibri" w:cs="Calibri"/>
          <w:bCs/>
          <w:sz w:val="24"/>
          <w:szCs w:val="20"/>
          <w:lang w:val="en-AU"/>
        </w:rPr>
        <w:t xml:space="preserve"> are the</w:t>
      </w:r>
      <w:r w:rsidR="000658FD" w:rsidRPr="00D127DD">
        <w:rPr>
          <w:rFonts w:ascii="Calibri" w:eastAsia="Times" w:hAnsi="Calibri" w:cs="Calibri"/>
          <w:bCs/>
          <w:sz w:val="24"/>
          <w:szCs w:val="20"/>
          <w:lang w:val="en-AU"/>
        </w:rPr>
        <w:t xml:space="preserve"> acts</w:t>
      </w:r>
      <w:r w:rsidR="007E4AD6">
        <w:rPr>
          <w:rFonts w:ascii="Calibri" w:eastAsia="Times" w:hAnsi="Calibri" w:cs="Calibri"/>
          <w:bCs/>
          <w:sz w:val="24"/>
          <w:szCs w:val="20"/>
          <w:lang w:val="en-AU"/>
        </w:rPr>
        <w:t xml:space="preserve"> that</w:t>
      </w:r>
      <w:r w:rsidR="000658FD" w:rsidRPr="00D127DD">
        <w:rPr>
          <w:rFonts w:ascii="Calibri" w:eastAsia="Times" w:hAnsi="Calibri" w:cs="Calibri"/>
          <w:bCs/>
          <w:sz w:val="24"/>
          <w:szCs w:val="20"/>
          <w:lang w:val="en-AU"/>
        </w:rPr>
        <w:t xml:space="preserve"> are alleged to amount to conduct unbecoming of a social worker that reflect adversely on her fitness to practise as a social worker (section 82(1)(b)) (‘conduct unbecoming’), or alternatively, professional misconduct pursuant to section 82(1)(a).</w:t>
      </w:r>
    </w:p>
    <w:p w14:paraId="5D02145A" w14:textId="089BEA89" w:rsidR="00D127DD" w:rsidRPr="00E54671" w:rsidRDefault="00D127DD" w:rsidP="00E54671">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On 15 October 2020 t</w:t>
      </w:r>
      <w:r w:rsidR="000658FD">
        <w:rPr>
          <w:rFonts w:ascii="Calibri" w:eastAsia="Times" w:hAnsi="Calibri" w:cs="Calibri"/>
          <w:bCs/>
          <w:sz w:val="24"/>
          <w:szCs w:val="20"/>
          <w:lang w:val="en-AU"/>
        </w:rPr>
        <w:t>he Chair</w:t>
      </w:r>
      <w:r>
        <w:rPr>
          <w:rFonts w:ascii="Calibri" w:eastAsia="Times" w:hAnsi="Calibri" w:cs="Calibri"/>
          <w:bCs/>
          <w:sz w:val="24"/>
          <w:szCs w:val="20"/>
          <w:lang w:val="en-AU"/>
        </w:rPr>
        <w:t>person issued a Minute in which she invited</w:t>
      </w:r>
      <w:r w:rsidR="000658FD">
        <w:rPr>
          <w:rFonts w:ascii="Calibri" w:eastAsia="Times" w:hAnsi="Calibri" w:cs="Calibri"/>
          <w:bCs/>
          <w:sz w:val="24"/>
          <w:szCs w:val="20"/>
          <w:lang w:val="en-AU"/>
        </w:rPr>
        <w:t xml:space="preserve"> the parties to address the Tribunal on the issue of whether or not the Tribunal has jurisdiction to </w:t>
      </w:r>
      <w:r w:rsidR="000658FD">
        <w:rPr>
          <w:rFonts w:ascii="Calibri" w:eastAsia="Times" w:hAnsi="Calibri" w:cs="Calibri"/>
          <w:bCs/>
          <w:sz w:val="24"/>
          <w:szCs w:val="20"/>
          <w:lang w:val="en-AU"/>
        </w:rPr>
        <w:lastRenderedPageBreak/>
        <w:t>review conduct by a registered social worker that is alleged to amount to professional misconduct or ‘conduct unbecoming’, when that conduct is alleged to have occurred prior to that practitioner’s registration as a social worker</w:t>
      </w:r>
      <w:r>
        <w:rPr>
          <w:rFonts w:ascii="Calibri" w:eastAsia="Times" w:hAnsi="Calibri" w:cs="Calibri"/>
          <w:bCs/>
          <w:sz w:val="24"/>
          <w:szCs w:val="20"/>
          <w:lang w:val="en-AU"/>
        </w:rPr>
        <w:t xml:space="preserve"> (the jurisdiction issue).</w:t>
      </w:r>
    </w:p>
    <w:p w14:paraId="538CD632" w14:textId="13B7F834" w:rsidR="00D127DD" w:rsidRDefault="00D127DD" w:rsidP="00D127DD">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In accordance with timetabling directions made in that Minute, written submissions in relation to the jurisdiction issue were received by the Tribunal</w:t>
      </w:r>
      <w:r w:rsidR="00674A46">
        <w:rPr>
          <w:rFonts w:ascii="Calibri" w:eastAsia="Times" w:hAnsi="Calibri" w:cs="Calibri"/>
          <w:bCs/>
          <w:sz w:val="24"/>
          <w:szCs w:val="20"/>
          <w:lang w:val="en-AU"/>
        </w:rPr>
        <w:t>, from Counsel for the PCC</w:t>
      </w:r>
      <w:r>
        <w:rPr>
          <w:rFonts w:ascii="Calibri" w:eastAsia="Times" w:hAnsi="Calibri" w:cs="Calibri"/>
          <w:bCs/>
          <w:sz w:val="24"/>
          <w:szCs w:val="20"/>
          <w:lang w:val="en-AU"/>
        </w:rPr>
        <w:t xml:space="preserve">. </w:t>
      </w:r>
      <w:r w:rsidR="00C65375">
        <w:rPr>
          <w:rFonts w:ascii="Calibri" w:eastAsia="Times" w:hAnsi="Calibri" w:cs="Calibri"/>
          <w:bCs/>
          <w:sz w:val="24"/>
          <w:szCs w:val="20"/>
          <w:lang w:val="en-AU"/>
        </w:rPr>
        <w:t xml:space="preserve">Counsel submitted that the Tribunal had jurisdiction to hear the Charge. </w:t>
      </w:r>
      <w:r w:rsidR="00674A46">
        <w:rPr>
          <w:rFonts w:ascii="Calibri" w:eastAsia="Times" w:hAnsi="Calibri" w:cs="Calibri"/>
          <w:bCs/>
          <w:sz w:val="24"/>
          <w:szCs w:val="20"/>
          <w:lang w:val="en-AU"/>
        </w:rPr>
        <w:t xml:space="preserve">By Memorandum dated </w:t>
      </w:r>
      <w:r w:rsidR="003F4ADF">
        <w:rPr>
          <w:rFonts w:ascii="Calibri" w:eastAsia="Times" w:hAnsi="Calibri" w:cs="Calibri"/>
          <w:bCs/>
          <w:sz w:val="24"/>
          <w:szCs w:val="20"/>
          <w:lang w:val="en-AU"/>
        </w:rPr>
        <w:t xml:space="preserve">30 October 2020 Counsel for the practitioner advised that </w:t>
      </w:r>
      <w:r w:rsidR="00C7176D">
        <w:rPr>
          <w:rFonts w:ascii="Calibri" w:eastAsia="Times" w:hAnsi="Calibri" w:cs="Calibri"/>
          <w:bCs/>
          <w:sz w:val="24"/>
          <w:szCs w:val="20"/>
          <w:lang w:val="en-AU"/>
        </w:rPr>
        <w:t xml:space="preserve">he had no response in opposition to the PCC’s submissions and that he accepted the PCC’s “interpretations”. </w:t>
      </w:r>
      <w:r>
        <w:rPr>
          <w:rFonts w:ascii="Calibri" w:eastAsia="Times" w:hAnsi="Calibri" w:cs="Calibri"/>
          <w:bCs/>
          <w:sz w:val="24"/>
          <w:szCs w:val="20"/>
          <w:lang w:val="en-AU"/>
        </w:rPr>
        <w:t>A full Tribunal then heard the matter</w:t>
      </w:r>
      <w:r w:rsidR="00A978A2">
        <w:rPr>
          <w:rFonts w:ascii="Calibri" w:eastAsia="Times" w:hAnsi="Calibri" w:cs="Calibri"/>
          <w:bCs/>
          <w:sz w:val="24"/>
          <w:szCs w:val="20"/>
          <w:lang w:val="en-AU"/>
        </w:rPr>
        <w:t xml:space="preserve"> (by </w:t>
      </w:r>
      <w:r w:rsidR="00765A70">
        <w:rPr>
          <w:rFonts w:ascii="Calibri" w:eastAsia="Times" w:hAnsi="Calibri" w:cs="Calibri"/>
          <w:bCs/>
          <w:sz w:val="24"/>
          <w:szCs w:val="20"/>
          <w:lang w:val="en-AU"/>
        </w:rPr>
        <w:t>audio visual link</w:t>
      </w:r>
      <w:r w:rsidR="00A978A2">
        <w:rPr>
          <w:rFonts w:ascii="Calibri" w:eastAsia="Times" w:hAnsi="Calibri" w:cs="Calibri"/>
          <w:bCs/>
          <w:sz w:val="24"/>
          <w:szCs w:val="20"/>
          <w:lang w:val="en-AU"/>
        </w:rPr>
        <w:t>)</w:t>
      </w:r>
      <w:r>
        <w:rPr>
          <w:rFonts w:ascii="Calibri" w:eastAsia="Times" w:hAnsi="Calibri" w:cs="Calibri"/>
          <w:bCs/>
          <w:sz w:val="24"/>
          <w:szCs w:val="20"/>
          <w:lang w:val="en-AU"/>
        </w:rPr>
        <w:t>.</w:t>
      </w:r>
      <w:r w:rsidR="00A978A2">
        <w:rPr>
          <w:rFonts w:ascii="Calibri" w:eastAsia="Times" w:hAnsi="Calibri" w:cs="Calibri"/>
          <w:bCs/>
          <w:sz w:val="24"/>
          <w:szCs w:val="20"/>
          <w:lang w:val="en-AU"/>
        </w:rPr>
        <w:t xml:space="preserve"> Counsel appeared for the first part of the hearing and answered questions from the Tribunal before the Tribunal deliberated</w:t>
      </w:r>
      <w:r w:rsidR="00532195">
        <w:rPr>
          <w:rStyle w:val="FootnoteReference"/>
          <w:rFonts w:ascii="Calibri" w:eastAsia="Times" w:hAnsi="Calibri" w:cs="Calibri"/>
          <w:bCs/>
          <w:sz w:val="24"/>
          <w:szCs w:val="20"/>
          <w:lang w:val="en-AU"/>
        </w:rPr>
        <w:footnoteReference w:id="5"/>
      </w:r>
      <w:r w:rsidR="00A978A2">
        <w:rPr>
          <w:rFonts w:ascii="Calibri" w:eastAsia="Times" w:hAnsi="Calibri" w:cs="Calibri"/>
          <w:bCs/>
          <w:sz w:val="24"/>
          <w:szCs w:val="20"/>
          <w:lang w:val="en-AU"/>
        </w:rPr>
        <w:t>.</w:t>
      </w:r>
      <w:r>
        <w:rPr>
          <w:rFonts w:ascii="Calibri" w:eastAsia="Times" w:hAnsi="Calibri" w:cs="Calibri"/>
          <w:bCs/>
          <w:sz w:val="24"/>
          <w:szCs w:val="20"/>
          <w:lang w:val="en-AU"/>
        </w:rPr>
        <w:t xml:space="preserve"> This d</w:t>
      </w:r>
      <w:r w:rsidR="006F64D6">
        <w:rPr>
          <w:rFonts w:ascii="Calibri" w:eastAsia="Times" w:hAnsi="Calibri" w:cs="Calibri"/>
          <w:bCs/>
          <w:sz w:val="24"/>
          <w:szCs w:val="20"/>
          <w:lang w:val="en-AU"/>
        </w:rPr>
        <w:t>ocument</w:t>
      </w:r>
      <w:r>
        <w:rPr>
          <w:rFonts w:ascii="Calibri" w:eastAsia="Times" w:hAnsi="Calibri" w:cs="Calibri"/>
          <w:bCs/>
          <w:sz w:val="24"/>
          <w:szCs w:val="20"/>
          <w:lang w:val="en-AU"/>
        </w:rPr>
        <w:t xml:space="preserve"> records the Tribunal’s decision that it does not have jurisdiction to hear the charge as laid and</w:t>
      </w:r>
      <w:r w:rsidR="007F5816">
        <w:rPr>
          <w:rFonts w:ascii="Calibri" w:eastAsia="Times" w:hAnsi="Calibri" w:cs="Calibri"/>
          <w:bCs/>
          <w:sz w:val="24"/>
          <w:szCs w:val="20"/>
          <w:lang w:val="en-AU"/>
        </w:rPr>
        <w:t xml:space="preserve"> striking out the charge, together with</w:t>
      </w:r>
      <w:r>
        <w:rPr>
          <w:rFonts w:ascii="Calibri" w:eastAsia="Times" w:hAnsi="Calibri" w:cs="Calibri"/>
          <w:bCs/>
          <w:sz w:val="24"/>
          <w:szCs w:val="20"/>
          <w:lang w:val="en-AU"/>
        </w:rPr>
        <w:t xml:space="preserve"> the reasons for that decision. </w:t>
      </w:r>
    </w:p>
    <w:p w14:paraId="14A26056" w14:textId="77777777" w:rsidR="00D31544" w:rsidRDefault="00D31544" w:rsidP="00D31544">
      <w:pPr>
        <w:tabs>
          <w:tab w:val="left" w:pos="567"/>
        </w:tabs>
        <w:spacing w:after="0" w:line="360" w:lineRule="auto"/>
        <w:ind w:left="567"/>
        <w:jc w:val="both"/>
        <w:rPr>
          <w:rFonts w:ascii="Calibri" w:eastAsia="Times" w:hAnsi="Calibri" w:cs="Calibri"/>
          <w:bCs/>
          <w:sz w:val="24"/>
          <w:szCs w:val="20"/>
          <w:lang w:val="en-AU"/>
        </w:rPr>
      </w:pPr>
    </w:p>
    <w:p w14:paraId="24937E8E" w14:textId="77777777" w:rsidR="00DD71BE" w:rsidRPr="00495734" w:rsidRDefault="00DD71BE" w:rsidP="00DD71BE">
      <w:pPr>
        <w:tabs>
          <w:tab w:val="left" w:pos="567"/>
        </w:tabs>
        <w:spacing w:after="0" w:line="360" w:lineRule="auto"/>
        <w:jc w:val="both"/>
        <w:rPr>
          <w:rFonts w:ascii="Calibri" w:eastAsia="Times" w:hAnsi="Calibri" w:cs="Calibri"/>
          <w:b/>
          <w:sz w:val="24"/>
          <w:szCs w:val="24"/>
          <w:lang w:val="en-AU"/>
        </w:rPr>
      </w:pPr>
      <w:r w:rsidRPr="00495734">
        <w:rPr>
          <w:rFonts w:ascii="Calibri" w:eastAsia="Times" w:hAnsi="Calibri" w:cs="Calibri"/>
          <w:b/>
          <w:sz w:val="24"/>
          <w:szCs w:val="24"/>
          <w:lang w:val="en-AU"/>
        </w:rPr>
        <w:t>Relevant background to the regulation of social workers</w:t>
      </w:r>
    </w:p>
    <w:p w14:paraId="02DEAA6A" w14:textId="5FCB56F3" w:rsidR="00805BCE" w:rsidRDefault="00805BCE" w:rsidP="00805BC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Tribunal was informed by </w:t>
      </w:r>
      <w:r w:rsidR="00564FA5">
        <w:rPr>
          <w:rFonts w:ascii="Calibri" w:eastAsia="Times" w:hAnsi="Calibri" w:cs="Calibri"/>
          <w:bCs/>
          <w:sz w:val="24"/>
          <w:szCs w:val="24"/>
          <w:lang w:val="en-AU"/>
        </w:rPr>
        <w:t>the parties</w:t>
      </w:r>
      <w:r>
        <w:rPr>
          <w:rFonts w:ascii="Calibri" w:eastAsia="Times" w:hAnsi="Calibri" w:cs="Calibri"/>
          <w:bCs/>
          <w:sz w:val="24"/>
          <w:szCs w:val="24"/>
          <w:lang w:val="en-AU"/>
        </w:rPr>
        <w:t xml:space="preserve"> that at the time of the alleged conduct the practitioner was working as a social worker, but she was not a registered social worker.</w:t>
      </w:r>
    </w:p>
    <w:p w14:paraId="496AE447" w14:textId="5AE7CE0C" w:rsidR="00DD71BE" w:rsidRPr="00E54671" w:rsidRDefault="00DD71BE" w:rsidP="00805BC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Board is not yet the regulatory authority for all persons who practise social work or provide social work services to the public.  </w:t>
      </w:r>
      <w:r w:rsidRPr="003E0042">
        <w:rPr>
          <w:rFonts w:ascii="Calibri" w:eastAsia="Times" w:hAnsi="Calibri" w:cs="Calibri"/>
          <w:bCs/>
          <w:sz w:val="24"/>
          <w:szCs w:val="24"/>
          <w:lang w:val="en-AU"/>
        </w:rPr>
        <w:t xml:space="preserve">Mandatory registration of social workers </w:t>
      </w:r>
      <w:r w:rsidR="00DD60D5">
        <w:rPr>
          <w:rFonts w:ascii="Calibri" w:eastAsia="Times" w:hAnsi="Calibri" w:cs="Calibri"/>
          <w:bCs/>
          <w:sz w:val="24"/>
          <w:szCs w:val="24"/>
          <w:lang w:val="en-AU"/>
        </w:rPr>
        <w:t>comes into</w:t>
      </w:r>
      <w:r w:rsidRPr="003E0042">
        <w:rPr>
          <w:rFonts w:ascii="Calibri" w:eastAsia="Times" w:hAnsi="Calibri" w:cs="Calibri"/>
          <w:bCs/>
          <w:sz w:val="24"/>
          <w:szCs w:val="24"/>
          <w:lang w:val="en-AU"/>
        </w:rPr>
        <w:t xml:space="preserve"> effect </w:t>
      </w:r>
      <w:r w:rsidR="00DD60D5">
        <w:rPr>
          <w:rFonts w:ascii="Calibri" w:eastAsia="Times" w:hAnsi="Calibri" w:cs="Calibri"/>
          <w:bCs/>
          <w:sz w:val="24"/>
          <w:szCs w:val="24"/>
          <w:lang w:val="en-AU"/>
        </w:rPr>
        <w:t xml:space="preserve">on </w:t>
      </w:r>
      <w:r>
        <w:rPr>
          <w:rFonts w:ascii="Calibri" w:eastAsia="Times" w:hAnsi="Calibri" w:cs="Calibri"/>
          <w:bCs/>
          <w:sz w:val="24"/>
          <w:szCs w:val="24"/>
          <w:lang w:val="en-AU"/>
        </w:rPr>
        <w:t>2</w:t>
      </w:r>
      <w:r w:rsidR="008F12EE">
        <w:rPr>
          <w:rFonts w:ascii="Calibri" w:eastAsia="Times" w:hAnsi="Calibri" w:cs="Calibri"/>
          <w:bCs/>
          <w:sz w:val="24"/>
          <w:szCs w:val="24"/>
          <w:lang w:val="en-AU"/>
        </w:rPr>
        <w:t>8</w:t>
      </w:r>
      <w:r w:rsidRPr="003E0042">
        <w:rPr>
          <w:rFonts w:ascii="Calibri" w:eastAsia="Times" w:hAnsi="Calibri" w:cs="Calibri"/>
          <w:bCs/>
          <w:sz w:val="24"/>
          <w:szCs w:val="24"/>
          <w:lang w:val="en-AU"/>
        </w:rPr>
        <w:t xml:space="preserve"> February 2021.</w:t>
      </w:r>
      <w:r>
        <w:rPr>
          <w:rFonts w:ascii="Calibri" w:eastAsia="Times" w:hAnsi="Calibri" w:cs="Calibri"/>
          <w:bCs/>
          <w:sz w:val="24"/>
          <w:szCs w:val="24"/>
          <w:lang w:val="en-AU"/>
        </w:rPr>
        <w:t xml:space="preserve"> </w:t>
      </w:r>
      <w:r w:rsidR="00DD60D5">
        <w:rPr>
          <w:rFonts w:ascii="Calibri" w:eastAsia="Times" w:hAnsi="Calibri" w:cs="Calibri"/>
          <w:bCs/>
          <w:sz w:val="24"/>
          <w:szCs w:val="24"/>
          <w:lang w:val="en-AU"/>
        </w:rPr>
        <w:t>U</w:t>
      </w:r>
      <w:r>
        <w:rPr>
          <w:rFonts w:ascii="Calibri" w:eastAsia="Times" w:hAnsi="Calibri" w:cs="Calibri"/>
          <w:bCs/>
          <w:sz w:val="24"/>
          <w:szCs w:val="24"/>
          <w:lang w:val="en-AU"/>
        </w:rPr>
        <w:t>ntil then</w:t>
      </w:r>
      <w:r w:rsidRPr="003E0042">
        <w:rPr>
          <w:rFonts w:ascii="Calibri" w:eastAsia="Times" w:hAnsi="Calibri" w:cs="Calibri"/>
          <w:bCs/>
          <w:sz w:val="24"/>
          <w:szCs w:val="24"/>
          <w:lang w:val="en-AU"/>
        </w:rPr>
        <w:t xml:space="preserve"> there are persons who</w:t>
      </w:r>
      <w:r>
        <w:rPr>
          <w:rFonts w:ascii="Calibri" w:eastAsia="Times" w:hAnsi="Calibri" w:cs="Calibri"/>
          <w:bCs/>
          <w:sz w:val="24"/>
          <w:szCs w:val="24"/>
          <w:lang w:val="en-AU"/>
        </w:rPr>
        <w:t xml:space="preserve"> are</w:t>
      </w:r>
      <w:r w:rsidRPr="003E0042">
        <w:rPr>
          <w:rFonts w:ascii="Calibri" w:eastAsia="Times" w:hAnsi="Calibri" w:cs="Calibri"/>
          <w:bCs/>
          <w:sz w:val="24"/>
          <w:szCs w:val="24"/>
          <w:lang w:val="en-AU"/>
        </w:rPr>
        <w:t xml:space="preserve"> practis</w:t>
      </w:r>
      <w:r>
        <w:rPr>
          <w:rFonts w:ascii="Calibri" w:eastAsia="Times" w:hAnsi="Calibri" w:cs="Calibri"/>
          <w:bCs/>
          <w:sz w:val="24"/>
          <w:szCs w:val="24"/>
          <w:lang w:val="en-AU"/>
        </w:rPr>
        <w:t>ing</w:t>
      </w:r>
      <w:r w:rsidRPr="003E0042">
        <w:rPr>
          <w:rFonts w:ascii="Calibri" w:eastAsia="Times" w:hAnsi="Calibri" w:cs="Calibri"/>
          <w:bCs/>
          <w:sz w:val="24"/>
          <w:szCs w:val="24"/>
          <w:lang w:val="en-AU"/>
        </w:rPr>
        <w:t xml:space="preserve"> social work who </w:t>
      </w:r>
      <w:r>
        <w:rPr>
          <w:rFonts w:ascii="Calibri" w:eastAsia="Times" w:hAnsi="Calibri" w:cs="Calibri"/>
          <w:bCs/>
          <w:sz w:val="24"/>
          <w:szCs w:val="24"/>
          <w:lang w:val="en-AU"/>
        </w:rPr>
        <w:t xml:space="preserve">may be </w:t>
      </w:r>
      <w:r w:rsidRPr="003E0042">
        <w:rPr>
          <w:rFonts w:ascii="Calibri" w:eastAsia="Times" w:hAnsi="Calibri" w:cs="Calibri"/>
          <w:bCs/>
          <w:sz w:val="24"/>
          <w:szCs w:val="24"/>
          <w:lang w:val="en-AU"/>
        </w:rPr>
        <w:t>call</w:t>
      </w:r>
      <w:r>
        <w:rPr>
          <w:rFonts w:ascii="Calibri" w:eastAsia="Times" w:hAnsi="Calibri" w:cs="Calibri"/>
          <w:bCs/>
          <w:sz w:val="24"/>
          <w:szCs w:val="24"/>
          <w:lang w:val="en-AU"/>
        </w:rPr>
        <w:t>ing</w:t>
      </w:r>
      <w:r w:rsidRPr="003E0042">
        <w:rPr>
          <w:rFonts w:ascii="Calibri" w:eastAsia="Times" w:hAnsi="Calibri" w:cs="Calibri"/>
          <w:bCs/>
          <w:sz w:val="24"/>
          <w:szCs w:val="24"/>
          <w:lang w:val="en-AU"/>
        </w:rPr>
        <w:t xml:space="preserve"> themselves social workers but who </w:t>
      </w:r>
      <w:r>
        <w:rPr>
          <w:rFonts w:ascii="Calibri" w:eastAsia="Times" w:hAnsi="Calibri" w:cs="Calibri"/>
          <w:bCs/>
          <w:sz w:val="24"/>
          <w:szCs w:val="24"/>
          <w:lang w:val="en-AU"/>
        </w:rPr>
        <w:t xml:space="preserve">are not and/or </w:t>
      </w:r>
      <w:r w:rsidRPr="003E0042">
        <w:rPr>
          <w:rFonts w:ascii="Calibri" w:eastAsia="Times" w:hAnsi="Calibri" w:cs="Calibri"/>
          <w:bCs/>
          <w:sz w:val="24"/>
          <w:szCs w:val="24"/>
          <w:lang w:val="en-AU"/>
        </w:rPr>
        <w:t xml:space="preserve">have never </w:t>
      </w:r>
      <w:r>
        <w:rPr>
          <w:rFonts w:ascii="Calibri" w:eastAsia="Times" w:hAnsi="Calibri" w:cs="Calibri"/>
          <w:bCs/>
          <w:sz w:val="24"/>
          <w:szCs w:val="24"/>
          <w:lang w:val="en-AU"/>
        </w:rPr>
        <w:t xml:space="preserve">been </w:t>
      </w:r>
      <w:r w:rsidRPr="003E0042">
        <w:rPr>
          <w:rFonts w:ascii="Calibri" w:eastAsia="Times" w:hAnsi="Calibri" w:cs="Calibri"/>
          <w:bCs/>
          <w:sz w:val="24"/>
          <w:szCs w:val="24"/>
          <w:lang w:val="en-AU"/>
        </w:rPr>
        <w:t>registered with the Board</w:t>
      </w:r>
      <w:r>
        <w:rPr>
          <w:rFonts w:ascii="Calibri" w:eastAsia="Times" w:hAnsi="Calibri" w:cs="Calibri"/>
          <w:bCs/>
          <w:sz w:val="24"/>
          <w:szCs w:val="24"/>
          <w:lang w:val="en-AU"/>
        </w:rPr>
        <w:t>. That is because of the voluntary approach to the registration of social workers that has been in place since the SWR Act first took effect</w:t>
      </w:r>
      <w:r w:rsidR="003F36AF">
        <w:rPr>
          <w:rStyle w:val="FootnoteReference"/>
          <w:rFonts w:ascii="Calibri" w:eastAsia="Times" w:hAnsi="Calibri" w:cs="Calibri"/>
          <w:bCs/>
          <w:sz w:val="24"/>
          <w:szCs w:val="24"/>
          <w:lang w:val="en-AU"/>
        </w:rPr>
        <w:footnoteReference w:id="6"/>
      </w:r>
      <w:r w:rsidRPr="003E0042">
        <w:rPr>
          <w:rFonts w:ascii="Calibri" w:eastAsia="Times" w:hAnsi="Calibri" w:cs="Calibri"/>
          <w:bCs/>
          <w:sz w:val="24"/>
          <w:szCs w:val="24"/>
          <w:lang w:val="en-AU"/>
        </w:rPr>
        <w:t xml:space="preserve">. </w:t>
      </w:r>
      <w:r w:rsidR="00DD60D5">
        <w:rPr>
          <w:rFonts w:ascii="Calibri" w:eastAsia="Times" w:hAnsi="Calibri" w:cs="Calibri"/>
          <w:bCs/>
          <w:sz w:val="24"/>
          <w:szCs w:val="24"/>
          <w:lang w:val="en-AU"/>
        </w:rPr>
        <w:t>N</w:t>
      </w:r>
      <w:r>
        <w:rPr>
          <w:rFonts w:ascii="Calibri" w:eastAsia="Times" w:hAnsi="Calibri" w:cs="Calibri"/>
          <w:bCs/>
          <w:sz w:val="24"/>
          <w:szCs w:val="24"/>
          <w:lang w:val="en-AU"/>
        </w:rPr>
        <w:t>on-registered social workers</w:t>
      </w:r>
      <w:r w:rsidR="003C7F0B">
        <w:rPr>
          <w:rFonts w:ascii="Calibri" w:eastAsia="Times" w:hAnsi="Calibri" w:cs="Calibri"/>
          <w:bCs/>
          <w:sz w:val="24"/>
          <w:szCs w:val="24"/>
          <w:lang w:val="en-AU"/>
        </w:rPr>
        <w:t xml:space="preserve"> (like this practitioner</w:t>
      </w:r>
      <w:r w:rsidR="00DD60D5">
        <w:rPr>
          <w:rFonts w:ascii="Calibri" w:eastAsia="Times" w:hAnsi="Calibri" w:cs="Calibri"/>
          <w:bCs/>
          <w:sz w:val="24"/>
          <w:szCs w:val="24"/>
          <w:lang w:val="en-AU"/>
        </w:rPr>
        <w:t xml:space="preserve"> was</w:t>
      </w:r>
      <w:r w:rsidR="003C7F0B">
        <w:rPr>
          <w:rFonts w:ascii="Calibri" w:eastAsia="Times" w:hAnsi="Calibri" w:cs="Calibri"/>
          <w:bCs/>
          <w:sz w:val="24"/>
          <w:szCs w:val="24"/>
          <w:lang w:val="en-AU"/>
        </w:rPr>
        <w:t>)</w:t>
      </w:r>
      <w:r>
        <w:rPr>
          <w:rFonts w:ascii="Calibri" w:eastAsia="Times" w:hAnsi="Calibri" w:cs="Calibri"/>
          <w:bCs/>
          <w:sz w:val="24"/>
          <w:szCs w:val="24"/>
          <w:lang w:val="en-AU"/>
        </w:rPr>
        <w:t xml:space="preserve"> are not, and have not been, subject to </w:t>
      </w:r>
      <w:r w:rsidR="007C370D">
        <w:rPr>
          <w:rFonts w:ascii="Calibri" w:eastAsia="Times" w:hAnsi="Calibri" w:cs="Calibri"/>
          <w:bCs/>
          <w:sz w:val="24"/>
          <w:szCs w:val="24"/>
          <w:lang w:val="en-AU"/>
        </w:rPr>
        <w:t xml:space="preserve">the </w:t>
      </w:r>
      <w:r>
        <w:rPr>
          <w:rFonts w:ascii="Calibri" w:eastAsia="Times" w:hAnsi="Calibri" w:cs="Calibri"/>
          <w:bCs/>
          <w:sz w:val="24"/>
          <w:szCs w:val="24"/>
          <w:lang w:val="en-AU"/>
        </w:rPr>
        <w:t>processes under the SWR Ac</w:t>
      </w:r>
      <w:r w:rsidR="00025C87">
        <w:rPr>
          <w:rFonts w:ascii="Calibri" w:eastAsia="Times" w:hAnsi="Calibri" w:cs="Calibri"/>
          <w:bCs/>
          <w:sz w:val="24"/>
          <w:szCs w:val="24"/>
          <w:lang w:val="en-AU"/>
        </w:rPr>
        <w:t>t, including</w:t>
      </w:r>
      <w:r>
        <w:rPr>
          <w:rFonts w:ascii="Calibri" w:eastAsia="Times" w:hAnsi="Calibri" w:cs="Calibri"/>
          <w:bCs/>
          <w:sz w:val="24"/>
          <w:szCs w:val="24"/>
          <w:lang w:val="en-AU"/>
        </w:rPr>
        <w:t xml:space="preserve"> the complaints and disciplinary regime. Those social workers have not been regulated. As such, there has been a major </w:t>
      </w:r>
      <w:r>
        <w:rPr>
          <w:rFonts w:ascii="Calibri" w:eastAsia="Times" w:hAnsi="Calibri" w:cs="Calibri"/>
          <w:bCs/>
          <w:sz w:val="24"/>
          <w:szCs w:val="24"/>
          <w:lang w:val="en-AU"/>
        </w:rPr>
        <w:lastRenderedPageBreak/>
        <w:t>gap for act</w:t>
      </w:r>
      <w:r w:rsidR="00634DEB">
        <w:rPr>
          <w:rFonts w:ascii="Calibri" w:eastAsia="Times" w:hAnsi="Calibri" w:cs="Calibri"/>
          <w:bCs/>
          <w:sz w:val="24"/>
          <w:szCs w:val="24"/>
          <w:lang w:val="en-AU"/>
        </w:rPr>
        <w:t>s, omissions</w:t>
      </w:r>
      <w:r w:rsidR="002C3D2F">
        <w:rPr>
          <w:rFonts w:ascii="Calibri" w:eastAsia="Times" w:hAnsi="Calibri" w:cs="Calibri"/>
          <w:bCs/>
          <w:sz w:val="24"/>
          <w:szCs w:val="24"/>
          <w:lang w:val="en-AU"/>
        </w:rPr>
        <w:t>,</w:t>
      </w:r>
      <w:r w:rsidR="00634DEB">
        <w:rPr>
          <w:rFonts w:ascii="Calibri" w:eastAsia="Times" w:hAnsi="Calibri" w:cs="Calibri"/>
          <w:bCs/>
          <w:sz w:val="24"/>
          <w:szCs w:val="24"/>
          <w:lang w:val="en-AU"/>
        </w:rPr>
        <w:t xml:space="preserve"> </w:t>
      </w:r>
      <w:r>
        <w:rPr>
          <w:rFonts w:ascii="Calibri" w:eastAsia="Times" w:hAnsi="Calibri" w:cs="Calibri"/>
          <w:bCs/>
          <w:sz w:val="24"/>
          <w:szCs w:val="24"/>
          <w:lang w:val="en-AU"/>
        </w:rPr>
        <w:t>and conduct by unregistered social workers the effect of which has been (and continues) that such acts and conduct have been immune from complaint</w:t>
      </w:r>
      <w:r w:rsidR="00712573">
        <w:rPr>
          <w:rFonts w:ascii="Calibri" w:eastAsia="Times" w:hAnsi="Calibri" w:cs="Calibri"/>
          <w:bCs/>
          <w:sz w:val="24"/>
          <w:szCs w:val="24"/>
          <w:lang w:val="en-AU"/>
        </w:rPr>
        <w:t xml:space="preserve"> to the Board</w:t>
      </w:r>
      <w:r w:rsidR="00D900B0">
        <w:rPr>
          <w:rStyle w:val="FootnoteReference"/>
          <w:rFonts w:ascii="Calibri" w:eastAsia="Times" w:hAnsi="Calibri" w:cs="Calibri"/>
          <w:bCs/>
          <w:sz w:val="24"/>
          <w:szCs w:val="24"/>
          <w:lang w:val="en-AU"/>
        </w:rPr>
        <w:footnoteReference w:id="7"/>
      </w:r>
      <w:r w:rsidR="00712573">
        <w:rPr>
          <w:rFonts w:ascii="Calibri" w:eastAsia="Times" w:hAnsi="Calibri" w:cs="Calibri"/>
          <w:bCs/>
          <w:sz w:val="24"/>
          <w:szCs w:val="24"/>
          <w:lang w:val="en-AU"/>
        </w:rPr>
        <w:t>.</w:t>
      </w:r>
      <w:r>
        <w:rPr>
          <w:rFonts w:ascii="Calibri" w:eastAsia="Times" w:hAnsi="Calibri" w:cs="Calibri"/>
          <w:bCs/>
          <w:sz w:val="24"/>
          <w:szCs w:val="24"/>
          <w:lang w:val="en-AU"/>
        </w:rPr>
        <w:t xml:space="preserve"> </w:t>
      </w:r>
    </w:p>
    <w:p w14:paraId="1A62C037" w14:textId="276F0BAB" w:rsidR="00DD71BE" w:rsidRPr="00481CD4" w:rsidRDefault="00DD71BE" w:rsidP="00481CD4">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sidRPr="003237D3">
        <w:rPr>
          <w:rFonts w:ascii="Calibri" w:eastAsia="Times" w:hAnsi="Calibri" w:cs="Calibri"/>
          <w:bCs/>
          <w:sz w:val="24"/>
          <w:szCs w:val="24"/>
          <w:lang w:val="en-AU"/>
        </w:rPr>
        <w:t>The Board has recognised that it has no jurisdiction over social work practitioners who are not registered</w:t>
      </w:r>
      <w:r>
        <w:rPr>
          <w:rStyle w:val="FootnoteReference"/>
          <w:rFonts w:ascii="Calibri" w:eastAsia="Times" w:hAnsi="Calibri" w:cs="Calibri"/>
          <w:bCs/>
          <w:sz w:val="24"/>
          <w:szCs w:val="24"/>
          <w:lang w:val="en-AU"/>
        </w:rPr>
        <w:footnoteReference w:id="8"/>
      </w:r>
      <w:r w:rsidRPr="003237D3">
        <w:rPr>
          <w:rFonts w:ascii="Calibri" w:eastAsia="Times" w:hAnsi="Calibri" w:cs="Calibri"/>
          <w:bCs/>
          <w:sz w:val="24"/>
          <w:szCs w:val="24"/>
          <w:lang w:val="en-AU"/>
        </w:rPr>
        <w:t xml:space="preserve">. </w:t>
      </w:r>
      <w:r w:rsidRPr="00481CD4">
        <w:rPr>
          <w:rFonts w:ascii="Calibri" w:eastAsia="Times" w:hAnsi="Calibri" w:cs="Calibri"/>
          <w:bCs/>
          <w:sz w:val="24"/>
          <w:szCs w:val="24"/>
          <w:lang w:val="en-AU"/>
        </w:rPr>
        <w:t>Unregistered social workers are</w:t>
      </w:r>
      <w:r w:rsidR="00EE2725" w:rsidRPr="00481CD4">
        <w:rPr>
          <w:rFonts w:ascii="Calibri" w:eastAsia="Times" w:hAnsi="Calibri" w:cs="Calibri"/>
          <w:bCs/>
          <w:sz w:val="24"/>
          <w:szCs w:val="24"/>
          <w:lang w:val="en-AU"/>
        </w:rPr>
        <w:t xml:space="preserve"> not</w:t>
      </w:r>
      <w:r w:rsidRPr="00481CD4">
        <w:rPr>
          <w:rFonts w:ascii="Calibri" w:eastAsia="Times" w:hAnsi="Calibri" w:cs="Calibri"/>
          <w:bCs/>
          <w:sz w:val="24"/>
          <w:szCs w:val="24"/>
          <w:lang w:val="en-AU"/>
        </w:rPr>
        <w:t xml:space="preserve"> subject to</w:t>
      </w:r>
      <w:r w:rsidR="00E45BE8">
        <w:rPr>
          <w:rFonts w:ascii="Calibri" w:eastAsia="Times" w:hAnsi="Calibri" w:cs="Calibri"/>
          <w:bCs/>
          <w:sz w:val="24"/>
          <w:szCs w:val="24"/>
          <w:lang w:val="en-AU"/>
        </w:rPr>
        <w:t xml:space="preserve"> </w:t>
      </w:r>
      <w:r w:rsidR="00FD79C1">
        <w:rPr>
          <w:rFonts w:ascii="Calibri" w:eastAsia="Times" w:hAnsi="Calibri" w:cs="Calibri"/>
          <w:bCs/>
          <w:sz w:val="24"/>
          <w:szCs w:val="24"/>
          <w:lang w:val="en-AU"/>
        </w:rPr>
        <w:t>statutory</w:t>
      </w:r>
      <w:r w:rsidR="00E45BE8">
        <w:rPr>
          <w:rFonts w:ascii="Calibri" w:eastAsia="Times" w:hAnsi="Calibri" w:cs="Calibri"/>
          <w:bCs/>
          <w:sz w:val="24"/>
          <w:szCs w:val="24"/>
          <w:lang w:val="en-AU"/>
        </w:rPr>
        <w:t xml:space="preserve"> requirements including</w:t>
      </w:r>
      <w:r w:rsidRPr="00481CD4">
        <w:rPr>
          <w:rFonts w:ascii="Calibri" w:eastAsia="Times" w:hAnsi="Calibri" w:cs="Calibri"/>
          <w:bCs/>
          <w:sz w:val="24"/>
          <w:szCs w:val="24"/>
          <w:lang w:val="en-AU"/>
        </w:rPr>
        <w:t xml:space="preserve"> assessments of their competence and fitness to practise or covered by existing complaints and disciplinary processes. They are</w:t>
      </w:r>
      <w:r w:rsidR="00EE2725" w:rsidRPr="00481CD4">
        <w:rPr>
          <w:rFonts w:ascii="Calibri" w:eastAsia="Times" w:hAnsi="Calibri" w:cs="Calibri"/>
          <w:bCs/>
          <w:sz w:val="24"/>
          <w:szCs w:val="24"/>
          <w:lang w:val="en-AU"/>
        </w:rPr>
        <w:t xml:space="preserve"> not</w:t>
      </w:r>
      <w:r w:rsidRPr="00481CD4">
        <w:rPr>
          <w:rFonts w:ascii="Calibri" w:eastAsia="Times" w:hAnsi="Calibri" w:cs="Calibri"/>
          <w:bCs/>
          <w:sz w:val="24"/>
          <w:szCs w:val="24"/>
          <w:lang w:val="en-AU"/>
        </w:rPr>
        <w:t xml:space="preserve"> required to have professional supervision or to undertake CPD [Continuing Professional Development]</w:t>
      </w:r>
      <w:r w:rsidR="00EE2725" w:rsidRPr="00481CD4">
        <w:rPr>
          <w:rFonts w:ascii="Calibri" w:eastAsia="Times" w:hAnsi="Calibri" w:cs="Calibri"/>
          <w:bCs/>
          <w:sz w:val="24"/>
          <w:szCs w:val="24"/>
          <w:lang w:val="en-AU"/>
        </w:rPr>
        <w:t xml:space="preserve">. This means and has meant that </w:t>
      </w:r>
      <w:r w:rsidR="00481CD4">
        <w:rPr>
          <w:rFonts w:ascii="Calibri" w:eastAsia="Times" w:hAnsi="Calibri" w:cs="Calibri"/>
          <w:bCs/>
          <w:sz w:val="24"/>
          <w:szCs w:val="24"/>
          <w:lang w:val="en-AU"/>
        </w:rPr>
        <w:t xml:space="preserve">the Board has </w:t>
      </w:r>
      <w:r w:rsidR="00BE7CD7">
        <w:rPr>
          <w:rFonts w:ascii="Calibri" w:eastAsia="Times" w:hAnsi="Calibri" w:cs="Calibri"/>
          <w:bCs/>
          <w:sz w:val="24"/>
          <w:szCs w:val="24"/>
          <w:lang w:val="en-AU"/>
        </w:rPr>
        <w:t>been</w:t>
      </w:r>
      <w:r w:rsidR="00481CD4">
        <w:rPr>
          <w:rFonts w:ascii="Calibri" w:eastAsia="Times" w:hAnsi="Calibri" w:cs="Calibri"/>
          <w:bCs/>
          <w:sz w:val="24"/>
          <w:szCs w:val="24"/>
          <w:lang w:val="en-AU"/>
        </w:rPr>
        <w:t xml:space="preserve"> unable to hold</w:t>
      </w:r>
      <w:r w:rsidR="00481CD4" w:rsidRPr="00481CD4">
        <w:rPr>
          <w:rFonts w:ascii="Calibri" w:eastAsia="Times" w:hAnsi="Calibri" w:cs="Calibri"/>
          <w:bCs/>
          <w:sz w:val="24"/>
          <w:szCs w:val="24"/>
          <w:lang w:val="en-AU"/>
        </w:rPr>
        <w:t xml:space="preserve"> </w:t>
      </w:r>
      <w:r w:rsidRPr="00481CD4">
        <w:rPr>
          <w:rFonts w:ascii="Calibri" w:eastAsia="Times" w:hAnsi="Calibri" w:cs="Calibri"/>
          <w:bCs/>
          <w:sz w:val="24"/>
          <w:szCs w:val="24"/>
          <w:lang w:val="en-AU"/>
        </w:rPr>
        <w:t>unregistered social workers accountable for their work.</w:t>
      </w:r>
    </w:p>
    <w:p w14:paraId="5974C430" w14:textId="66FCD3DC" w:rsidR="00DD71BE" w:rsidRDefault="00DD71BE" w:rsidP="00DD71B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The public safety concern associated with this situation was a significant driving force behind the legislative change to the SWR Act in February 2019</w:t>
      </w:r>
      <w:r>
        <w:rPr>
          <w:rStyle w:val="FootnoteReference"/>
          <w:rFonts w:ascii="Calibri" w:eastAsia="Times" w:hAnsi="Calibri" w:cs="Calibri"/>
          <w:bCs/>
          <w:sz w:val="24"/>
          <w:szCs w:val="24"/>
          <w:lang w:val="en-AU"/>
        </w:rPr>
        <w:footnoteReference w:id="9"/>
      </w:r>
      <w:r>
        <w:rPr>
          <w:rFonts w:ascii="Calibri" w:eastAsia="Times" w:hAnsi="Calibri" w:cs="Calibri"/>
          <w:bCs/>
          <w:sz w:val="24"/>
          <w:szCs w:val="24"/>
          <w:lang w:val="en-AU"/>
        </w:rPr>
        <w:t>. On 2</w:t>
      </w:r>
      <w:r w:rsidR="008F12EE">
        <w:rPr>
          <w:rFonts w:ascii="Calibri" w:eastAsia="Times" w:hAnsi="Calibri" w:cs="Calibri"/>
          <w:bCs/>
          <w:sz w:val="24"/>
          <w:szCs w:val="24"/>
          <w:lang w:val="en-AU"/>
        </w:rPr>
        <w:t>8</w:t>
      </w:r>
      <w:r>
        <w:rPr>
          <w:rFonts w:ascii="Calibri" w:eastAsia="Times" w:hAnsi="Calibri" w:cs="Calibri"/>
          <w:bCs/>
          <w:sz w:val="24"/>
          <w:szCs w:val="24"/>
          <w:lang w:val="en-AU"/>
        </w:rPr>
        <w:t xml:space="preserve"> February 2019 the Social Workers Registration Legislation Act 2019 amended the SWR Act to introduce mandatory registration of social workers (as above, the relevant provisions are to take effect on 2</w:t>
      </w:r>
      <w:r w:rsidR="008F12EE">
        <w:rPr>
          <w:rFonts w:ascii="Calibri" w:eastAsia="Times" w:hAnsi="Calibri" w:cs="Calibri"/>
          <w:bCs/>
          <w:sz w:val="24"/>
          <w:szCs w:val="24"/>
          <w:lang w:val="en-AU"/>
        </w:rPr>
        <w:t>8</w:t>
      </w:r>
      <w:r>
        <w:rPr>
          <w:rFonts w:ascii="Calibri" w:eastAsia="Times" w:hAnsi="Calibri" w:cs="Calibri"/>
          <w:bCs/>
          <w:sz w:val="24"/>
          <w:szCs w:val="24"/>
          <w:lang w:val="en-AU"/>
        </w:rPr>
        <w:t xml:space="preserve"> February 2021, being two years from the date the Act was amended) </w:t>
      </w:r>
      <w:proofErr w:type="gramStart"/>
      <w:r>
        <w:rPr>
          <w:rFonts w:ascii="Calibri" w:eastAsia="Times" w:hAnsi="Calibri" w:cs="Calibri"/>
          <w:bCs/>
          <w:sz w:val="24"/>
          <w:szCs w:val="24"/>
          <w:lang w:val="en-AU"/>
        </w:rPr>
        <w:t>and  a</w:t>
      </w:r>
      <w:proofErr w:type="gramEnd"/>
      <w:r>
        <w:rPr>
          <w:rFonts w:ascii="Calibri" w:eastAsia="Times" w:hAnsi="Calibri" w:cs="Calibri"/>
          <w:bCs/>
          <w:sz w:val="24"/>
          <w:szCs w:val="24"/>
          <w:lang w:val="en-AU"/>
        </w:rPr>
        <w:t xml:space="preserve"> range of other changes including</w:t>
      </w:r>
      <w:r w:rsidR="00ED4952">
        <w:rPr>
          <w:rFonts w:ascii="Calibri" w:eastAsia="Times" w:hAnsi="Calibri" w:cs="Calibri"/>
          <w:bCs/>
          <w:sz w:val="24"/>
          <w:szCs w:val="24"/>
          <w:lang w:val="en-AU"/>
        </w:rPr>
        <w:t>, relevantly,</w:t>
      </w:r>
      <w:r>
        <w:rPr>
          <w:rFonts w:ascii="Calibri" w:eastAsia="Times" w:hAnsi="Calibri" w:cs="Calibri"/>
          <w:bCs/>
          <w:sz w:val="24"/>
          <w:szCs w:val="24"/>
          <w:lang w:val="en-AU"/>
        </w:rPr>
        <w:t xml:space="preserve"> to section 8</w:t>
      </w:r>
      <w:r w:rsidR="00983D30">
        <w:rPr>
          <w:rFonts w:ascii="Calibri" w:eastAsia="Times" w:hAnsi="Calibri" w:cs="Calibri"/>
          <w:bCs/>
          <w:sz w:val="24"/>
          <w:szCs w:val="24"/>
          <w:lang w:val="en-AU"/>
        </w:rPr>
        <w:t>2</w:t>
      </w:r>
      <w:r>
        <w:rPr>
          <w:rFonts w:ascii="Calibri" w:eastAsia="Times" w:hAnsi="Calibri" w:cs="Calibri"/>
          <w:bCs/>
          <w:sz w:val="24"/>
          <w:szCs w:val="24"/>
          <w:lang w:val="en-AU"/>
        </w:rPr>
        <w:t xml:space="preserve"> of the Act relating to the grounds for discipline. </w:t>
      </w:r>
    </w:p>
    <w:p w14:paraId="6F9746D7" w14:textId="60870D53" w:rsidR="00DD71BE" w:rsidRDefault="00DD71BE" w:rsidP="00DD71B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lastRenderedPageBreak/>
        <w:t xml:space="preserve">The jurisdiction issue here is an important one because increasing numbers of social workers who may be or may have been practising social work but who have never registered, will register under the Act with the introduction of mandatory registration. That raises the question whether, when legislating for mandatory registration, Parliament intended that any pre-registration ‘misconduct’ by a social worker will be captured by the disciplinary provisions that will apply </w:t>
      </w:r>
      <w:r w:rsidR="009F32D5">
        <w:rPr>
          <w:rFonts w:ascii="Calibri" w:eastAsia="Times" w:hAnsi="Calibri" w:cs="Calibri"/>
          <w:bCs/>
          <w:sz w:val="24"/>
          <w:szCs w:val="24"/>
          <w:lang w:val="en-AU"/>
        </w:rPr>
        <w:t xml:space="preserve">to </w:t>
      </w:r>
      <w:r>
        <w:rPr>
          <w:rFonts w:ascii="Calibri" w:eastAsia="Times" w:hAnsi="Calibri" w:cs="Calibri"/>
          <w:bCs/>
          <w:sz w:val="24"/>
          <w:szCs w:val="24"/>
          <w:lang w:val="en-AU"/>
        </w:rPr>
        <w:t xml:space="preserve">those social workers once they become registered. </w:t>
      </w:r>
    </w:p>
    <w:p w14:paraId="28110E6B" w14:textId="77777777" w:rsidR="00752F56" w:rsidRDefault="00752F56" w:rsidP="00DD71BE">
      <w:pPr>
        <w:tabs>
          <w:tab w:val="left" w:pos="567"/>
        </w:tabs>
        <w:spacing w:after="0" w:line="360" w:lineRule="auto"/>
        <w:jc w:val="both"/>
        <w:rPr>
          <w:rFonts w:ascii="Calibri" w:eastAsia="Times" w:hAnsi="Calibri" w:cs="Calibri"/>
          <w:b/>
          <w:sz w:val="24"/>
          <w:szCs w:val="20"/>
          <w:lang w:val="en-AU"/>
        </w:rPr>
      </w:pPr>
    </w:p>
    <w:p w14:paraId="1985AB68" w14:textId="5EE8E7CA" w:rsidR="00DD71BE" w:rsidRPr="00BF5C6A" w:rsidRDefault="00DD71BE" w:rsidP="00DD71BE">
      <w:pPr>
        <w:tabs>
          <w:tab w:val="left" w:pos="567"/>
        </w:tabs>
        <w:spacing w:after="0" w:line="360" w:lineRule="auto"/>
        <w:jc w:val="both"/>
        <w:rPr>
          <w:rFonts w:ascii="Calibri" w:eastAsia="Times" w:hAnsi="Calibri" w:cs="Calibri"/>
          <w:b/>
          <w:sz w:val="24"/>
          <w:szCs w:val="20"/>
          <w:lang w:val="en-AU"/>
        </w:rPr>
      </w:pPr>
      <w:r w:rsidRPr="00BF5C6A">
        <w:rPr>
          <w:rFonts w:ascii="Calibri" w:eastAsia="Times" w:hAnsi="Calibri" w:cs="Calibri"/>
          <w:b/>
          <w:sz w:val="24"/>
          <w:szCs w:val="20"/>
          <w:lang w:val="en-AU"/>
        </w:rPr>
        <w:t>Submissions for the PCC</w:t>
      </w:r>
    </w:p>
    <w:p w14:paraId="380D6DA7" w14:textId="7595B559" w:rsidR="00DD71BE" w:rsidRPr="00E54671" w:rsidRDefault="00DD71BE" w:rsidP="00BF6318">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It was submitted for the PCC that the Tribunal has jurisdiction to consider the </w:t>
      </w:r>
      <w:r w:rsidR="00056159">
        <w:rPr>
          <w:rFonts w:ascii="Calibri" w:eastAsia="Times" w:hAnsi="Calibri" w:cs="Calibri"/>
          <w:bCs/>
          <w:sz w:val="24"/>
          <w:szCs w:val="20"/>
          <w:lang w:val="en-AU"/>
        </w:rPr>
        <w:t>C</w:t>
      </w:r>
      <w:r>
        <w:rPr>
          <w:rFonts w:ascii="Calibri" w:eastAsia="Times" w:hAnsi="Calibri" w:cs="Calibri"/>
          <w:bCs/>
          <w:sz w:val="24"/>
          <w:szCs w:val="20"/>
          <w:lang w:val="en-AU"/>
        </w:rPr>
        <w:t xml:space="preserve">harge against the practitioner on the basis that the complaint that resulted in the </w:t>
      </w:r>
      <w:r w:rsidR="00056159">
        <w:rPr>
          <w:rFonts w:ascii="Calibri" w:eastAsia="Times" w:hAnsi="Calibri" w:cs="Calibri"/>
          <w:bCs/>
          <w:sz w:val="24"/>
          <w:szCs w:val="20"/>
          <w:lang w:val="en-AU"/>
        </w:rPr>
        <w:t>C</w:t>
      </w:r>
      <w:r>
        <w:rPr>
          <w:rFonts w:ascii="Calibri" w:eastAsia="Times" w:hAnsi="Calibri" w:cs="Calibri"/>
          <w:bCs/>
          <w:sz w:val="24"/>
          <w:szCs w:val="20"/>
          <w:lang w:val="en-AU"/>
        </w:rPr>
        <w:t>harge was made at a time when the practitioner was a registered social worker</w:t>
      </w:r>
      <w:r w:rsidR="00A9411A">
        <w:rPr>
          <w:rFonts w:ascii="Calibri" w:eastAsia="Times" w:hAnsi="Calibri" w:cs="Calibri"/>
          <w:bCs/>
          <w:sz w:val="24"/>
          <w:szCs w:val="20"/>
          <w:lang w:val="en-AU"/>
        </w:rPr>
        <w:t xml:space="preserve">. Counsel advised the Tribunal that </w:t>
      </w:r>
      <w:r>
        <w:rPr>
          <w:rFonts w:ascii="Calibri" w:eastAsia="Times" w:hAnsi="Calibri" w:cs="Calibri"/>
          <w:bCs/>
          <w:sz w:val="24"/>
          <w:szCs w:val="20"/>
          <w:lang w:val="en-AU"/>
        </w:rPr>
        <w:t>the complaint was made in January 2019. It was submitted that in accordance with the text and purpose of the SWR Act (including the protection of the safety of members of the public by prescribing or providing for mechanisms to ensure that social workers are competent to practise and accountable for the way in which they practise</w:t>
      </w:r>
      <w:r>
        <w:rPr>
          <w:rStyle w:val="FootnoteReference"/>
          <w:rFonts w:ascii="Calibri" w:eastAsia="Times" w:hAnsi="Calibri" w:cs="Calibri"/>
          <w:bCs/>
          <w:sz w:val="24"/>
          <w:szCs w:val="20"/>
          <w:lang w:val="en-AU"/>
        </w:rPr>
        <w:footnoteReference w:id="10"/>
      </w:r>
      <w:r>
        <w:rPr>
          <w:rFonts w:ascii="Calibri" w:eastAsia="Times" w:hAnsi="Calibri" w:cs="Calibri"/>
          <w:bCs/>
          <w:sz w:val="24"/>
          <w:szCs w:val="20"/>
          <w:lang w:val="en-AU"/>
        </w:rPr>
        <w:t xml:space="preserve"> and enhancing the professionalism of social workers), that is sufficient to confer jurisdiction on the Tribunal to consider and determine the </w:t>
      </w:r>
      <w:r w:rsidR="00937F1A">
        <w:rPr>
          <w:rFonts w:ascii="Calibri" w:eastAsia="Times" w:hAnsi="Calibri" w:cs="Calibri"/>
          <w:bCs/>
          <w:sz w:val="24"/>
          <w:szCs w:val="20"/>
          <w:lang w:val="en-AU"/>
        </w:rPr>
        <w:t>C</w:t>
      </w:r>
      <w:r>
        <w:rPr>
          <w:rFonts w:ascii="Calibri" w:eastAsia="Times" w:hAnsi="Calibri" w:cs="Calibri"/>
          <w:bCs/>
          <w:sz w:val="24"/>
          <w:szCs w:val="20"/>
          <w:lang w:val="en-AU"/>
        </w:rPr>
        <w:t>harge.</w:t>
      </w:r>
    </w:p>
    <w:p w14:paraId="76347455" w14:textId="77777777" w:rsidR="00DD71BE" w:rsidRDefault="00DD71BE" w:rsidP="00DD71BE">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Counsel for the PCC submitted, in summary:</w:t>
      </w:r>
    </w:p>
    <w:p w14:paraId="555FEAD2" w14:textId="77777777" w:rsidR="00DD71BE" w:rsidRDefault="00DD71BE" w:rsidP="00DD71BE">
      <w:pPr>
        <w:numPr>
          <w:ilvl w:val="1"/>
          <w:numId w:val="1"/>
        </w:numPr>
        <w:tabs>
          <w:tab w:val="left" w:pos="567"/>
        </w:tabs>
        <w:spacing w:after="0" w:line="360" w:lineRule="auto"/>
        <w:jc w:val="both"/>
        <w:rPr>
          <w:rFonts w:ascii="Calibri" w:eastAsia="Times" w:hAnsi="Calibri" w:cs="Calibri"/>
          <w:bCs/>
          <w:sz w:val="24"/>
          <w:szCs w:val="20"/>
          <w:lang w:val="en-AU"/>
        </w:rPr>
      </w:pPr>
      <w:r>
        <w:rPr>
          <w:rFonts w:ascii="Calibri" w:eastAsia="Times" w:hAnsi="Calibri" w:cs="Calibri"/>
          <w:bCs/>
          <w:sz w:val="24"/>
          <w:szCs w:val="20"/>
          <w:lang w:val="en-AU"/>
        </w:rPr>
        <w:t>With reference to section 5 of the Interpretation Act 1999, the interpretation consistent with the text and purpose of the Act is that the Tribunal’s jurisdiction derives from the fact that a person is registered as a social worker when a complaint is made about the person’s conduct. If the complaint is made when the practitioner is registered, then it may be dealt with in accordance with the disciplinary processes in Part 4 of the Act.</w:t>
      </w:r>
    </w:p>
    <w:p w14:paraId="5BC06390" w14:textId="77777777" w:rsidR="00DD71BE" w:rsidRDefault="00DD71BE" w:rsidP="00DD71BE">
      <w:pPr>
        <w:numPr>
          <w:ilvl w:val="1"/>
          <w:numId w:val="1"/>
        </w:numPr>
        <w:tabs>
          <w:tab w:val="left" w:pos="567"/>
        </w:tabs>
        <w:spacing w:after="0" w:line="360" w:lineRule="auto"/>
        <w:jc w:val="both"/>
        <w:rPr>
          <w:rFonts w:ascii="Calibri" w:eastAsia="Times" w:hAnsi="Calibri" w:cs="Calibri"/>
          <w:bCs/>
          <w:sz w:val="24"/>
          <w:szCs w:val="20"/>
          <w:lang w:val="en-AU"/>
        </w:rPr>
      </w:pPr>
      <w:r>
        <w:rPr>
          <w:rFonts w:ascii="Calibri" w:eastAsia="Times" w:hAnsi="Calibri" w:cs="Calibri"/>
          <w:bCs/>
          <w:sz w:val="24"/>
          <w:szCs w:val="20"/>
          <w:lang w:val="en-AU"/>
        </w:rPr>
        <w:t xml:space="preserve">The Act does not require, expressly or impliedly, that the conduct occurred while the person was registered. </w:t>
      </w:r>
    </w:p>
    <w:p w14:paraId="7EB86D04" w14:textId="77777777" w:rsidR="00DD71BE" w:rsidRDefault="00DD71BE" w:rsidP="00DD71BE">
      <w:pPr>
        <w:numPr>
          <w:ilvl w:val="1"/>
          <w:numId w:val="1"/>
        </w:numPr>
        <w:tabs>
          <w:tab w:val="left" w:pos="567"/>
        </w:tabs>
        <w:spacing w:after="0" w:line="360" w:lineRule="auto"/>
        <w:jc w:val="both"/>
        <w:rPr>
          <w:rFonts w:ascii="Calibri" w:eastAsia="Times" w:hAnsi="Calibri" w:cs="Calibri"/>
          <w:bCs/>
          <w:sz w:val="24"/>
          <w:szCs w:val="20"/>
          <w:lang w:val="en-AU"/>
        </w:rPr>
      </w:pPr>
      <w:r>
        <w:rPr>
          <w:rFonts w:ascii="Calibri" w:eastAsia="Times" w:hAnsi="Calibri" w:cs="Calibri"/>
          <w:bCs/>
          <w:sz w:val="24"/>
          <w:szCs w:val="20"/>
          <w:lang w:val="en-AU"/>
        </w:rPr>
        <w:t>The Tribunal may exercise its functions and powers in respect of a person who is a “social worker”; that is someone “currently registered with the Board”.</w:t>
      </w:r>
    </w:p>
    <w:p w14:paraId="043B2D44" w14:textId="77777777" w:rsidR="00DD71BE" w:rsidRPr="00E54671" w:rsidRDefault="00DD71BE" w:rsidP="00DD71BE">
      <w:pPr>
        <w:numPr>
          <w:ilvl w:val="1"/>
          <w:numId w:val="1"/>
        </w:numPr>
        <w:tabs>
          <w:tab w:val="left" w:pos="567"/>
        </w:tabs>
        <w:spacing w:after="0" w:line="360" w:lineRule="auto"/>
        <w:jc w:val="both"/>
        <w:rPr>
          <w:rFonts w:ascii="Calibri" w:eastAsia="Times" w:hAnsi="Calibri" w:cs="Calibri"/>
          <w:bCs/>
          <w:sz w:val="24"/>
          <w:szCs w:val="20"/>
          <w:lang w:val="en-AU"/>
        </w:rPr>
      </w:pPr>
      <w:r>
        <w:rPr>
          <w:rFonts w:ascii="Calibri" w:eastAsia="Times" w:hAnsi="Calibri" w:cs="Calibri"/>
          <w:bCs/>
          <w:sz w:val="24"/>
          <w:szCs w:val="20"/>
          <w:lang w:val="en-AU"/>
        </w:rPr>
        <w:lastRenderedPageBreak/>
        <w:t>There are compelling policy reasons why the Tribunal should find that the disciplinary regime under the Act is able to respond to conduct that occurred when the social worker was not yet registered but in circumstances where the individual is registered at the time of the complaint. Adopting this approach is consistent with the public protection purpose of the Act.</w:t>
      </w:r>
    </w:p>
    <w:p w14:paraId="28001433" w14:textId="73B76A50" w:rsidR="00B3684F" w:rsidRDefault="00DD71BE" w:rsidP="00D14405">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As above, Counsel for the practitioner accepted the PCC’s position on these matters.</w:t>
      </w:r>
      <w:r w:rsidR="00B64C5F">
        <w:rPr>
          <w:rFonts w:ascii="Calibri" w:eastAsia="Times" w:hAnsi="Calibri" w:cs="Calibri"/>
          <w:bCs/>
          <w:sz w:val="24"/>
          <w:szCs w:val="24"/>
          <w:lang w:val="en-AU"/>
        </w:rPr>
        <w:t xml:space="preserve"> He confirmed that at the hearing.</w:t>
      </w:r>
    </w:p>
    <w:p w14:paraId="32DEE084" w14:textId="77777777" w:rsidR="00C629B3" w:rsidRDefault="00C629B3" w:rsidP="00FC016F">
      <w:pPr>
        <w:tabs>
          <w:tab w:val="left" w:pos="567"/>
        </w:tabs>
        <w:spacing w:after="0" w:line="360" w:lineRule="auto"/>
        <w:jc w:val="both"/>
        <w:rPr>
          <w:rFonts w:ascii="Calibri" w:eastAsia="Times" w:hAnsi="Calibri" w:cs="Calibri"/>
          <w:b/>
          <w:sz w:val="24"/>
          <w:szCs w:val="20"/>
          <w:lang w:val="en-AU"/>
        </w:rPr>
      </w:pPr>
    </w:p>
    <w:p w14:paraId="3B0D0011" w14:textId="3DD516F7" w:rsidR="002D3638" w:rsidRPr="002D3638" w:rsidRDefault="006C6CEB" w:rsidP="00FC016F">
      <w:pPr>
        <w:tabs>
          <w:tab w:val="left" w:pos="567"/>
        </w:tabs>
        <w:spacing w:after="0" w:line="360" w:lineRule="auto"/>
        <w:jc w:val="both"/>
        <w:rPr>
          <w:rFonts w:ascii="Calibri" w:eastAsia="Times" w:hAnsi="Calibri" w:cs="Calibri"/>
          <w:b/>
          <w:sz w:val="24"/>
          <w:szCs w:val="20"/>
          <w:lang w:val="en-AU"/>
        </w:rPr>
      </w:pPr>
      <w:r>
        <w:rPr>
          <w:rFonts w:ascii="Calibri" w:eastAsia="Times" w:hAnsi="Calibri" w:cs="Calibri"/>
          <w:b/>
          <w:sz w:val="24"/>
          <w:szCs w:val="20"/>
          <w:lang w:val="en-AU"/>
        </w:rPr>
        <w:t>Discussion</w:t>
      </w:r>
    </w:p>
    <w:p w14:paraId="02EAE65B" w14:textId="73FD6726" w:rsidR="007665AA" w:rsidRPr="00546676" w:rsidRDefault="00453ED3" w:rsidP="00546676">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This is a case concerned with whether</w:t>
      </w:r>
      <w:r w:rsidR="00B64C5F">
        <w:rPr>
          <w:rFonts w:ascii="Calibri" w:eastAsia="Times" w:hAnsi="Calibri" w:cs="Calibri"/>
          <w:bCs/>
          <w:sz w:val="24"/>
          <w:szCs w:val="24"/>
          <w:lang w:val="en-AU"/>
        </w:rPr>
        <w:t xml:space="preserve"> the Tribunal may make a finding under</w:t>
      </w:r>
      <w:r>
        <w:rPr>
          <w:rFonts w:ascii="Calibri" w:eastAsia="Times" w:hAnsi="Calibri" w:cs="Calibri"/>
          <w:bCs/>
          <w:sz w:val="24"/>
          <w:szCs w:val="24"/>
          <w:lang w:val="en-AU"/>
        </w:rPr>
        <w:t xml:space="preserve"> </w:t>
      </w:r>
      <w:r w:rsidR="002230EE">
        <w:rPr>
          <w:rFonts w:ascii="Calibri" w:eastAsia="Times" w:hAnsi="Calibri" w:cs="Calibri"/>
          <w:bCs/>
          <w:sz w:val="24"/>
          <w:szCs w:val="24"/>
          <w:lang w:val="en-AU"/>
        </w:rPr>
        <w:t xml:space="preserve">section 82(1)(a) and 82(1)(b) of </w:t>
      </w:r>
      <w:r>
        <w:rPr>
          <w:rFonts w:ascii="Calibri" w:eastAsia="Times" w:hAnsi="Calibri" w:cs="Calibri"/>
          <w:bCs/>
          <w:sz w:val="24"/>
          <w:szCs w:val="24"/>
          <w:lang w:val="en-AU"/>
        </w:rPr>
        <w:t>the SWR Act</w:t>
      </w:r>
      <w:r w:rsidR="00334D88">
        <w:rPr>
          <w:rFonts w:ascii="Calibri" w:eastAsia="Times" w:hAnsi="Calibri" w:cs="Calibri"/>
          <w:bCs/>
          <w:sz w:val="24"/>
          <w:szCs w:val="24"/>
          <w:lang w:val="en-AU"/>
        </w:rPr>
        <w:t xml:space="preserve"> in relation to</w:t>
      </w:r>
      <w:r w:rsidR="00BB1004">
        <w:rPr>
          <w:rFonts w:ascii="Calibri" w:eastAsia="Times" w:hAnsi="Calibri" w:cs="Calibri"/>
          <w:bCs/>
          <w:sz w:val="24"/>
          <w:szCs w:val="24"/>
          <w:lang w:val="en-AU"/>
        </w:rPr>
        <w:t xml:space="preserve"> the conduct of social workers prior to their registration</w:t>
      </w:r>
      <w:r w:rsidR="0092232D">
        <w:rPr>
          <w:rFonts w:ascii="Calibri" w:eastAsia="Times" w:hAnsi="Calibri" w:cs="Calibri"/>
          <w:bCs/>
          <w:sz w:val="24"/>
          <w:szCs w:val="24"/>
          <w:lang w:val="en-AU"/>
        </w:rPr>
        <w:t xml:space="preserve"> under the Act</w:t>
      </w:r>
      <w:r w:rsidR="00BB1004">
        <w:rPr>
          <w:rFonts w:ascii="Calibri" w:eastAsia="Times" w:hAnsi="Calibri" w:cs="Calibri"/>
          <w:bCs/>
          <w:sz w:val="24"/>
          <w:szCs w:val="24"/>
          <w:lang w:val="en-AU"/>
        </w:rPr>
        <w:t>.</w:t>
      </w:r>
    </w:p>
    <w:p w14:paraId="46821F96" w14:textId="668560B4" w:rsidR="00453ED3" w:rsidRDefault="00084885" w:rsidP="002D63F1">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question is whether those sections of the Act </w:t>
      </w:r>
      <w:r w:rsidR="00D31CDE">
        <w:rPr>
          <w:rFonts w:ascii="Calibri" w:eastAsia="Times" w:hAnsi="Calibri" w:cs="Calibri"/>
          <w:bCs/>
          <w:sz w:val="24"/>
          <w:szCs w:val="24"/>
          <w:lang w:val="en-AU"/>
        </w:rPr>
        <w:t>apply to all co</w:t>
      </w:r>
      <w:r w:rsidR="00012FED">
        <w:rPr>
          <w:rFonts w:ascii="Calibri" w:eastAsia="Times" w:hAnsi="Calibri" w:cs="Calibri"/>
          <w:bCs/>
          <w:sz w:val="24"/>
          <w:szCs w:val="24"/>
          <w:lang w:val="en-AU"/>
        </w:rPr>
        <w:t>nduct by a registered social worker or only some, namely, conduct after the practitioner becomes registered under</w:t>
      </w:r>
      <w:r w:rsidR="002573D6">
        <w:rPr>
          <w:rFonts w:ascii="Calibri" w:eastAsia="Times" w:hAnsi="Calibri" w:cs="Calibri"/>
          <w:bCs/>
          <w:sz w:val="24"/>
          <w:szCs w:val="24"/>
          <w:lang w:val="en-AU"/>
        </w:rPr>
        <w:t>, and therefore</w:t>
      </w:r>
      <w:r w:rsidR="002D6F77">
        <w:rPr>
          <w:rFonts w:ascii="Calibri" w:eastAsia="Times" w:hAnsi="Calibri" w:cs="Calibri"/>
          <w:bCs/>
          <w:sz w:val="24"/>
          <w:szCs w:val="24"/>
          <w:lang w:val="en-AU"/>
        </w:rPr>
        <w:t xml:space="preserve"> is</w:t>
      </w:r>
      <w:r w:rsidR="002573D6">
        <w:rPr>
          <w:rFonts w:ascii="Calibri" w:eastAsia="Times" w:hAnsi="Calibri" w:cs="Calibri"/>
          <w:bCs/>
          <w:sz w:val="24"/>
          <w:szCs w:val="24"/>
          <w:lang w:val="en-AU"/>
        </w:rPr>
        <w:t xml:space="preserve"> regulated by,</w:t>
      </w:r>
      <w:r w:rsidR="00012FED">
        <w:rPr>
          <w:rFonts w:ascii="Calibri" w:eastAsia="Times" w:hAnsi="Calibri" w:cs="Calibri"/>
          <w:bCs/>
          <w:sz w:val="24"/>
          <w:szCs w:val="24"/>
          <w:lang w:val="en-AU"/>
        </w:rPr>
        <w:t xml:space="preserve"> the Act. </w:t>
      </w:r>
      <w:r w:rsidR="002573D6">
        <w:rPr>
          <w:rFonts w:ascii="Calibri" w:eastAsia="Times" w:hAnsi="Calibri" w:cs="Calibri"/>
          <w:bCs/>
          <w:sz w:val="24"/>
          <w:szCs w:val="24"/>
          <w:lang w:val="en-AU"/>
        </w:rPr>
        <w:t xml:space="preserve"> The question is as to the ambit and scope of the Act</w:t>
      </w:r>
      <w:r w:rsidR="006A7154">
        <w:rPr>
          <w:rFonts w:ascii="Calibri" w:eastAsia="Times" w:hAnsi="Calibri" w:cs="Calibri"/>
          <w:bCs/>
          <w:sz w:val="24"/>
          <w:szCs w:val="24"/>
          <w:lang w:val="en-AU"/>
        </w:rPr>
        <w:t>.</w:t>
      </w:r>
    </w:p>
    <w:p w14:paraId="2E859D66" w14:textId="68EF2EE9" w:rsidR="00FB286B" w:rsidRDefault="00235294" w:rsidP="00FB286B">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Notwithstanding the position of the parties,</w:t>
      </w:r>
      <w:r w:rsidR="00A45CF5">
        <w:rPr>
          <w:rFonts w:ascii="Calibri" w:eastAsia="Times" w:hAnsi="Calibri" w:cs="Calibri"/>
          <w:bCs/>
          <w:sz w:val="24"/>
          <w:szCs w:val="24"/>
          <w:lang w:val="en-AU"/>
        </w:rPr>
        <w:t xml:space="preserve"> the parties accepted that</w:t>
      </w:r>
      <w:r>
        <w:rPr>
          <w:rFonts w:ascii="Calibri" w:eastAsia="Times" w:hAnsi="Calibri" w:cs="Calibri"/>
          <w:bCs/>
          <w:sz w:val="24"/>
          <w:szCs w:val="24"/>
          <w:lang w:val="en-AU"/>
        </w:rPr>
        <w:t xml:space="preserve"> as a creature of statute the Tribunal </w:t>
      </w:r>
      <w:r w:rsidR="00CB4B69">
        <w:rPr>
          <w:rFonts w:ascii="Calibri" w:eastAsia="Times" w:hAnsi="Calibri" w:cs="Calibri"/>
          <w:bCs/>
          <w:sz w:val="24"/>
          <w:szCs w:val="24"/>
          <w:lang w:val="en-AU"/>
        </w:rPr>
        <w:t>must</w:t>
      </w:r>
      <w:r>
        <w:rPr>
          <w:rFonts w:ascii="Calibri" w:eastAsia="Times" w:hAnsi="Calibri" w:cs="Calibri"/>
          <w:bCs/>
          <w:sz w:val="24"/>
          <w:szCs w:val="24"/>
          <w:lang w:val="en-AU"/>
        </w:rPr>
        <w:t xml:space="preserve"> be satisfied for itself that it ha</w:t>
      </w:r>
      <w:r w:rsidR="00605DDD">
        <w:rPr>
          <w:rFonts w:ascii="Calibri" w:eastAsia="Times" w:hAnsi="Calibri" w:cs="Calibri"/>
          <w:bCs/>
          <w:sz w:val="24"/>
          <w:szCs w:val="24"/>
          <w:lang w:val="en-AU"/>
        </w:rPr>
        <w:t>s</w:t>
      </w:r>
      <w:r>
        <w:rPr>
          <w:rFonts w:ascii="Calibri" w:eastAsia="Times" w:hAnsi="Calibri" w:cs="Calibri"/>
          <w:bCs/>
          <w:sz w:val="24"/>
          <w:szCs w:val="24"/>
          <w:lang w:val="en-AU"/>
        </w:rPr>
        <w:t xml:space="preserve"> jurisdiction under its home statute to review the conduct charged. For the reasons explained below, it is not so satisfied.</w:t>
      </w:r>
    </w:p>
    <w:p w14:paraId="2903E9A4" w14:textId="77777777" w:rsidR="007D7706" w:rsidRDefault="007D7706" w:rsidP="00372B65">
      <w:pPr>
        <w:tabs>
          <w:tab w:val="left" w:pos="567"/>
        </w:tabs>
        <w:spacing w:after="0" w:line="360" w:lineRule="auto"/>
        <w:jc w:val="both"/>
        <w:rPr>
          <w:rFonts w:ascii="Calibri" w:eastAsia="Times" w:hAnsi="Calibri" w:cs="Calibri"/>
          <w:bCs/>
          <w:sz w:val="24"/>
          <w:szCs w:val="24"/>
          <w:lang w:val="en-AU"/>
        </w:rPr>
      </w:pPr>
    </w:p>
    <w:p w14:paraId="5FB3BD7D" w14:textId="7A2730FC" w:rsidR="00FB286B" w:rsidRPr="007D7706" w:rsidRDefault="007D7706" w:rsidP="007D7706">
      <w:pPr>
        <w:tabs>
          <w:tab w:val="left" w:pos="567"/>
        </w:tabs>
        <w:spacing w:after="0" w:line="360" w:lineRule="auto"/>
        <w:jc w:val="both"/>
        <w:rPr>
          <w:rFonts w:ascii="Calibri" w:eastAsia="Times" w:hAnsi="Calibri" w:cs="Calibri"/>
          <w:bCs/>
          <w:i/>
          <w:iCs/>
          <w:sz w:val="24"/>
          <w:szCs w:val="24"/>
          <w:lang w:val="en-AU"/>
        </w:rPr>
      </w:pPr>
      <w:r>
        <w:rPr>
          <w:rFonts w:ascii="Calibri" w:eastAsia="Times" w:hAnsi="Calibri" w:cs="Calibri"/>
          <w:bCs/>
          <w:i/>
          <w:iCs/>
          <w:sz w:val="24"/>
          <w:szCs w:val="24"/>
          <w:lang w:val="en-AU"/>
        </w:rPr>
        <w:t>A matter of statutory interpretation</w:t>
      </w:r>
    </w:p>
    <w:p w14:paraId="3CAA4911" w14:textId="2722C5F7" w:rsidR="00E84BD4" w:rsidRDefault="00BA3105" w:rsidP="00E84BD4">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0"/>
          <w:lang w:val="en-AU"/>
        </w:rPr>
        <w:t xml:space="preserve">The </w:t>
      </w:r>
      <w:r w:rsidR="00EB62F8">
        <w:rPr>
          <w:rFonts w:ascii="Calibri" w:eastAsia="Times" w:hAnsi="Calibri" w:cs="Calibri"/>
          <w:bCs/>
          <w:sz w:val="24"/>
          <w:szCs w:val="20"/>
          <w:lang w:val="en-AU"/>
        </w:rPr>
        <w:t>Tribunal agree</w:t>
      </w:r>
      <w:r w:rsidR="00E269D5">
        <w:rPr>
          <w:rFonts w:ascii="Calibri" w:eastAsia="Times" w:hAnsi="Calibri" w:cs="Calibri"/>
          <w:bCs/>
          <w:sz w:val="24"/>
          <w:szCs w:val="20"/>
          <w:lang w:val="en-AU"/>
        </w:rPr>
        <w:t>d with Counsel for the PCC</w:t>
      </w:r>
      <w:r w:rsidR="00EB62F8">
        <w:rPr>
          <w:rFonts w:ascii="Calibri" w:eastAsia="Times" w:hAnsi="Calibri" w:cs="Calibri"/>
          <w:bCs/>
          <w:sz w:val="24"/>
          <w:szCs w:val="20"/>
          <w:lang w:val="en-AU"/>
        </w:rPr>
        <w:t xml:space="preserve"> </w:t>
      </w:r>
      <w:r w:rsidR="00D230A1">
        <w:rPr>
          <w:rFonts w:ascii="Calibri" w:eastAsia="Times" w:hAnsi="Calibri" w:cs="Calibri"/>
          <w:bCs/>
          <w:sz w:val="24"/>
          <w:szCs w:val="20"/>
          <w:lang w:val="en-AU"/>
        </w:rPr>
        <w:t xml:space="preserve">that </w:t>
      </w:r>
      <w:r>
        <w:rPr>
          <w:rFonts w:ascii="Calibri" w:eastAsia="Times" w:hAnsi="Calibri" w:cs="Calibri"/>
          <w:bCs/>
          <w:sz w:val="24"/>
          <w:szCs w:val="20"/>
          <w:lang w:val="en-AU"/>
        </w:rPr>
        <w:t xml:space="preserve">resolution of </w:t>
      </w:r>
      <w:r w:rsidR="00027EE6">
        <w:rPr>
          <w:rFonts w:ascii="Calibri" w:eastAsia="Times" w:hAnsi="Calibri" w:cs="Calibri"/>
          <w:bCs/>
          <w:sz w:val="24"/>
          <w:szCs w:val="20"/>
          <w:lang w:val="en-AU"/>
        </w:rPr>
        <w:t xml:space="preserve">the </w:t>
      </w:r>
      <w:r>
        <w:rPr>
          <w:rFonts w:ascii="Calibri" w:eastAsia="Times" w:hAnsi="Calibri" w:cs="Calibri"/>
          <w:bCs/>
          <w:sz w:val="24"/>
          <w:szCs w:val="20"/>
          <w:lang w:val="en-AU"/>
        </w:rPr>
        <w:t>issue</w:t>
      </w:r>
      <w:r w:rsidR="00AC378D">
        <w:rPr>
          <w:rFonts w:ascii="Calibri" w:eastAsia="Times" w:hAnsi="Calibri" w:cs="Calibri"/>
          <w:bCs/>
          <w:sz w:val="24"/>
          <w:szCs w:val="20"/>
          <w:lang w:val="en-AU"/>
        </w:rPr>
        <w:t xml:space="preserve"> by the Tribunal</w:t>
      </w:r>
      <w:r>
        <w:rPr>
          <w:rFonts w:ascii="Calibri" w:eastAsia="Times" w:hAnsi="Calibri" w:cs="Calibri"/>
          <w:bCs/>
          <w:sz w:val="24"/>
          <w:szCs w:val="20"/>
          <w:lang w:val="en-AU"/>
        </w:rPr>
        <w:t xml:space="preserve"> is</w:t>
      </w:r>
      <w:r w:rsidR="003161C3">
        <w:rPr>
          <w:rFonts w:ascii="Calibri" w:eastAsia="Times" w:hAnsi="Calibri" w:cs="Calibri"/>
          <w:bCs/>
          <w:sz w:val="24"/>
          <w:szCs w:val="20"/>
          <w:lang w:val="en-AU"/>
        </w:rPr>
        <w:t xml:space="preserve"> a matter of statutory interpretation</w:t>
      </w:r>
      <w:r>
        <w:rPr>
          <w:rFonts w:ascii="Calibri" w:eastAsia="Times" w:hAnsi="Calibri" w:cs="Calibri"/>
          <w:bCs/>
          <w:sz w:val="24"/>
          <w:szCs w:val="20"/>
          <w:lang w:val="en-AU"/>
        </w:rPr>
        <w:t>.</w:t>
      </w:r>
      <w:r w:rsidR="002D63F1" w:rsidRPr="002D63F1">
        <w:rPr>
          <w:rFonts w:ascii="Calibri" w:eastAsia="Times" w:hAnsi="Calibri" w:cs="Calibri"/>
          <w:bCs/>
          <w:sz w:val="24"/>
          <w:szCs w:val="24"/>
          <w:lang w:val="en-AU"/>
        </w:rPr>
        <w:t xml:space="preserve"> </w:t>
      </w:r>
      <w:r w:rsidR="002D63F1">
        <w:rPr>
          <w:rFonts w:ascii="Calibri" w:eastAsia="Times" w:hAnsi="Calibri" w:cs="Calibri"/>
          <w:bCs/>
          <w:sz w:val="24"/>
          <w:szCs w:val="24"/>
          <w:lang w:val="en-AU"/>
        </w:rPr>
        <w:t xml:space="preserve">That is because there is no specific provision in the </w:t>
      </w:r>
      <w:r w:rsidR="001168AB">
        <w:rPr>
          <w:rFonts w:ascii="Calibri" w:eastAsia="Times" w:hAnsi="Calibri" w:cs="Calibri"/>
          <w:bCs/>
          <w:sz w:val="24"/>
          <w:szCs w:val="24"/>
          <w:lang w:val="en-AU"/>
        </w:rPr>
        <w:t xml:space="preserve">SWR </w:t>
      </w:r>
      <w:r w:rsidR="002D63F1">
        <w:rPr>
          <w:rFonts w:ascii="Calibri" w:eastAsia="Times" w:hAnsi="Calibri" w:cs="Calibri"/>
          <w:bCs/>
          <w:sz w:val="24"/>
          <w:szCs w:val="24"/>
          <w:lang w:val="en-AU"/>
        </w:rPr>
        <w:t>Act that provides</w:t>
      </w:r>
      <w:r w:rsidR="00F17142">
        <w:rPr>
          <w:rFonts w:ascii="Calibri" w:eastAsia="Times" w:hAnsi="Calibri" w:cs="Calibri"/>
          <w:bCs/>
          <w:sz w:val="24"/>
          <w:szCs w:val="24"/>
          <w:lang w:val="en-AU"/>
        </w:rPr>
        <w:t xml:space="preserve"> expressly</w:t>
      </w:r>
      <w:r w:rsidR="002D63F1">
        <w:rPr>
          <w:rFonts w:ascii="Calibri" w:eastAsia="Times" w:hAnsi="Calibri" w:cs="Calibri"/>
          <w:bCs/>
          <w:sz w:val="24"/>
          <w:szCs w:val="24"/>
          <w:lang w:val="en-AU"/>
        </w:rPr>
        <w:t xml:space="preserve"> that the Tribunal has jurisdiction to discipline </w:t>
      </w:r>
      <w:r w:rsidR="003E0042">
        <w:rPr>
          <w:rFonts w:ascii="Calibri" w:eastAsia="Times" w:hAnsi="Calibri" w:cs="Calibri"/>
          <w:bCs/>
          <w:sz w:val="24"/>
          <w:szCs w:val="24"/>
          <w:lang w:val="en-AU"/>
        </w:rPr>
        <w:t xml:space="preserve">a </w:t>
      </w:r>
      <w:r w:rsidR="002D63F1">
        <w:rPr>
          <w:rFonts w:ascii="Calibri" w:eastAsia="Times" w:hAnsi="Calibri" w:cs="Calibri"/>
          <w:bCs/>
          <w:sz w:val="24"/>
          <w:szCs w:val="24"/>
          <w:lang w:val="en-AU"/>
        </w:rPr>
        <w:t>social worker in respect of act</w:t>
      </w:r>
      <w:r w:rsidR="0089320B">
        <w:rPr>
          <w:rFonts w:ascii="Calibri" w:eastAsia="Times" w:hAnsi="Calibri" w:cs="Calibri"/>
          <w:bCs/>
          <w:sz w:val="24"/>
          <w:szCs w:val="24"/>
          <w:lang w:val="en-AU"/>
        </w:rPr>
        <w:t>s</w:t>
      </w:r>
      <w:r w:rsidR="002D63F1">
        <w:rPr>
          <w:rFonts w:ascii="Calibri" w:eastAsia="Times" w:hAnsi="Calibri" w:cs="Calibri"/>
          <w:bCs/>
          <w:sz w:val="24"/>
          <w:szCs w:val="24"/>
          <w:lang w:val="en-AU"/>
        </w:rPr>
        <w:t xml:space="preserve"> or omissions that </w:t>
      </w:r>
      <w:r w:rsidR="00D230A1">
        <w:rPr>
          <w:rFonts w:ascii="Calibri" w:eastAsia="Times" w:hAnsi="Calibri" w:cs="Calibri"/>
          <w:bCs/>
          <w:sz w:val="24"/>
          <w:szCs w:val="24"/>
          <w:lang w:val="en-AU"/>
        </w:rPr>
        <w:t>are alleged to amount to professional misconduct or conduct unbecoming a social worker that reflects adversely on his or her</w:t>
      </w:r>
      <w:r w:rsidR="00CB4B69">
        <w:rPr>
          <w:rFonts w:ascii="Calibri" w:eastAsia="Times" w:hAnsi="Calibri" w:cs="Calibri"/>
          <w:bCs/>
          <w:sz w:val="24"/>
          <w:szCs w:val="24"/>
          <w:lang w:val="en-AU"/>
        </w:rPr>
        <w:t xml:space="preserve"> or their</w:t>
      </w:r>
      <w:r w:rsidR="00D230A1">
        <w:rPr>
          <w:rFonts w:ascii="Calibri" w:eastAsia="Times" w:hAnsi="Calibri" w:cs="Calibri"/>
          <w:bCs/>
          <w:sz w:val="24"/>
          <w:szCs w:val="24"/>
          <w:lang w:val="en-AU"/>
        </w:rPr>
        <w:t xml:space="preserve"> fitness to practise, </w:t>
      </w:r>
      <w:r w:rsidR="002D63F1">
        <w:rPr>
          <w:rFonts w:ascii="Calibri" w:eastAsia="Times" w:hAnsi="Calibri" w:cs="Calibri"/>
          <w:bCs/>
          <w:sz w:val="24"/>
          <w:szCs w:val="24"/>
          <w:lang w:val="en-AU"/>
        </w:rPr>
        <w:t>w</w:t>
      </w:r>
      <w:r w:rsidR="00E32B6B">
        <w:rPr>
          <w:rFonts w:ascii="Calibri" w:eastAsia="Times" w:hAnsi="Calibri" w:cs="Calibri"/>
          <w:bCs/>
          <w:sz w:val="24"/>
          <w:szCs w:val="24"/>
          <w:lang w:val="en-AU"/>
        </w:rPr>
        <w:t>hen that conduct w</w:t>
      </w:r>
      <w:r w:rsidR="00DF58AD">
        <w:rPr>
          <w:rFonts w:ascii="Calibri" w:eastAsia="Times" w:hAnsi="Calibri" w:cs="Calibri"/>
          <w:bCs/>
          <w:sz w:val="24"/>
          <w:szCs w:val="24"/>
          <w:lang w:val="en-AU"/>
        </w:rPr>
        <w:t>as</w:t>
      </w:r>
      <w:r w:rsidR="002D63F1">
        <w:rPr>
          <w:rFonts w:ascii="Calibri" w:eastAsia="Times" w:hAnsi="Calibri" w:cs="Calibri"/>
          <w:bCs/>
          <w:sz w:val="24"/>
          <w:szCs w:val="24"/>
          <w:lang w:val="en-AU"/>
        </w:rPr>
        <w:t xml:space="preserve"> </w:t>
      </w:r>
      <w:r w:rsidR="00081952">
        <w:rPr>
          <w:rFonts w:ascii="Calibri" w:eastAsia="Times" w:hAnsi="Calibri" w:cs="Calibri"/>
          <w:bCs/>
          <w:sz w:val="24"/>
          <w:szCs w:val="24"/>
          <w:lang w:val="en-AU"/>
        </w:rPr>
        <w:t xml:space="preserve">alleged to have been </w:t>
      </w:r>
      <w:r w:rsidR="002D63F1">
        <w:rPr>
          <w:rFonts w:ascii="Calibri" w:eastAsia="Times" w:hAnsi="Calibri" w:cs="Calibri"/>
          <w:bCs/>
          <w:sz w:val="24"/>
          <w:szCs w:val="24"/>
          <w:lang w:val="en-AU"/>
        </w:rPr>
        <w:t>committed</w:t>
      </w:r>
      <w:r w:rsidR="0089320B">
        <w:rPr>
          <w:rFonts w:ascii="Calibri" w:eastAsia="Times" w:hAnsi="Calibri" w:cs="Calibri"/>
          <w:bCs/>
          <w:sz w:val="24"/>
          <w:szCs w:val="24"/>
          <w:lang w:val="en-AU"/>
        </w:rPr>
        <w:t xml:space="preserve"> (or omitted)</w:t>
      </w:r>
      <w:r w:rsidR="002D63F1">
        <w:rPr>
          <w:rFonts w:ascii="Calibri" w:eastAsia="Times" w:hAnsi="Calibri" w:cs="Calibri"/>
          <w:bCs/>
          <w:sz w:val="24"/>
          <w:szCs w:val="24"/>
          <w:lang w:val="en-AU"/>
        </w:rPr>
        <w:t xml:space="preserve"> before </w:t>
      </w:r>
      <w:r w:rsidR="003E0042">
        <w:rPr>
          <w:rFonts w:ascii="Calibri" w:eastAsia="Times" w:hAnsi="Calibri" w:cs="Calibri"/>
          <w:bCs/>
          <w:sz w:val="24"/>
          <w:szCs w:val="24"/>
          <w:lang w:val="en-AU"/>
        </w:rPr>
        <w:t>they</w:t>
      </w:r>
      <w:r w:rsidR="002D63F1">
        <w:rPr>
          <w:rFonts w:ascii="Calibri" w:eastAsia="Times" w:hAnsi="Calibri" w:cs="Calibri"/>
          <w:bCs/>
          <w:sz w:val="24"/>
          <w:szCs w:val="24"/>
          <w:lang w:val="en-AU"/>
        </w:rPr>
        <w:t xml:space="preserve"> became a registered social worker </w:t>
      </w:r>
      <w:r w:rsidR="006E4268">
        <w:rPr>
          <w:rFonts w:ascii="Calibri" w:eastAsia="Times" w:hAnsi="Calibri" w:cs="Calibri"/>
          <w:bCs/>
          <w:sz w:val="24"/>
          <w:szCs w:val="24"/>
          <w:lang w:val="en-AU"/>
        </w:rPr>
        <w:t>under the Act</w:t>
      </w:r>
      <w:r w:rsidR="00584606">
        <w:rPr>
          <w:rFonts w:ascii="Calibri" w:eastAsia="Times" w:hAnsi="Calibri" w:cs="Calibri"/>
          <w:bCs/>
          <w:sz w:val="24"/>
          <w:szCs w:val="24"/>
          <w:lang w:val="en-AU"/>
        </w:rPr>
        <w:t>.</w:t>
      </w:r>
      <w:r w:rsidR="008A586C">
        <w:rPr>
          <w:rFonts w:ascii="Calibri" w:eastAsia="Times" w:hAnsi="Calibri" w:cs="Calibri"/>
          <w:bCs/>
          <w:sz w:val="24"/>
          <w:szCs w:val="24"/>
          <w:lang w:val="en-AU"/>
        </w:rPr>
        <w:t xml:space="preserve"> </w:t>
      </w:r>
    </w:p>
    <w:p w14:paraId="0F0B7235" w14:textId="508622CE" w:rsidR="00666197" w:rsidRDefault="00854AD1" w:rsidP="00335703">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To construe those sections the Tribunal has simply read them</w:t>
      </w:r>
      <w:r w:rsidR="007665AA">
        <w:rPr>
          <w:rFonts w:ascii="Calibri" w:eastAsia="Times" w:hAnsi="Calibri" w:cs="Calibri"/>
          <w:bCs/>
          <w:sz w:val="24"/>
          <w:szCs w:val="24"/>
          <w:lang w:val="en-AU"/>
        </w:rPr>
        <w:t xml:space="preserve"> </w:t>
      </w:r>
      <w:r>
        <w:rPr>
          <w:rFonts w:ascii="Calibri" w:eastAsia="Times" w:hAnsi="Calibri" w:cs="Calibri"/>
          <w:bCs/>
          <w:sz w:val="24"/>
          <w:szCs w:val="24"/>
          <w:lang w:val="en-AU"/>
        </w:rPr>
        <w:t xml:space="preserve">and looked at the SWR Act in which they are contained, to </w:t>
      </w:r>
      <w:r w:rsidR="009C7CE7">
        <w:rPr>
          <w:rFonts w:ascii="Calibri" w:eastAsia="Times" w:hAnsi="Calibri" w:cs="Calibri"/>
          <w:bCs/>
          <w:sz w:val="24"/>
          <w:szCs w:val="24"/>
          <w:lang w:val="en-AU"/>
        </w:rPr>
        <w:t xml:space="preserve">determine what </w:t>
      </w:r>
      <w:r w:rsidR="00605DDD">
        <w:rPr>
          <w:rFonts w:ascii="Calibri" w:eastAsia="Times" w:hAnsi="Calibri" w:cs="Calibri"/>
          <w:bCs/>
          <w:sz w:val="24"/>
          <w:szCs w:val="24"/>
          <w:lang w:val="en-AU"/>
        </w:rPr>
        <w:t>is</w:t>
      </w:r>
      <w:r w:rsidR="009C7CE7">
        <w:rPr>
          <w:rFonts w:ascii="Calibri" w:eastAsia="Times" w:hAnsi="Calibri" w:cs="Calibri"/>
          <w:bCs/>
          <w:sz w:val="24"/>
          <w:szCs w:val="24"/>
          <w:lang w:val="en-AU"/>
        </w:rPr>
        <w:t xml:space="preserve"> the fair meaning of those sections.</w:t>
      </w:r>
      <w:r w:rsidR="00770AB3">
        <w:rPr>
          <w:rFonts w:ascii="Calibri" w:eastAsia="Times" w:hAnsi="Calibri" w:cs="Calibri"/>
          <w:bCs/>
          <w:sz w:val="24"/>
          <w:szCs w:val="24"/>
          <w:lang w:val="en-AU"/>
        </w:rPr>
        <w:t xml:space="preserve"> </w:t>
      </w:r>
      <w:r w:rsidR="00723802">
        <w:rPr>
          <w:rFonts w:ascii="Calibri" w:eastAsia="Times" w:hAnsi="Calibri" w:cs="Calibri"/>
          <w:bCs/>
          <w:sz w:val="24"/>
          <w:szCs w:val="24"/>
          <w:lang w:val="en-AU"/>
        </w:rPr>
        <w:t>Fairness is important because</w:t>
      </w:r>
      <w:r w:rsidR="00182424">
        <w:rPr>
          <w:rFonts w:ascii="Calibri" w:eastAsia="Times" w:hAnsi="Calibri" w:cs="Calibri"/>
          <w:bCs/>
          <w:sz w:val="24"/>
          <w:szCs w:val="24"/>
          <w:lang w:val="en-AU"/>
        </w:rPr>
        <w:t xml:space="preserve"> in the Tribunal’s view</w:t>
      </w:r>
      <w:r w:rsidR="00723802">
        <w:rPr>
          <w:rFonts w:ascii="Calibri" w:eastAsia="Times" w:hAnsi="Calibri" w:cs="Calibri"/>
          <w:bCs/>
          <w:sz w:val="24"/>
          <w:szCs w:val="24"/>
          <w:lang w:val="en-AU"/>
        </w:rPr>
        <w:t xml:space="preserve"> it</w:t>
      </w:r>
      <w:r w:rsidR="00513F64">
        <w:rPr>
          <w:rFonts w:ascii="Calibri" w:eastAsia="Times" w:hAnsi="Calibri" w:cs="Calibri"/>
          <w:bCs/>
          <w:sz w:val="24"/>
          <w:szCs w:val="24"/>
          <w:lang w:val="en-AU"/>
        </w:rPr>
        <w:t xml:space="preserve"> could be considered to</w:t>
      </w:r>
      <w:r w:rsidR="00723802">
        <w:rPr>
          <w:rFonts w:ascii="Calibri" w:eastAsia="Times" w:hAnsi="Calibri" w:cs="Calibri"/>
          <w:bCs/>
          <w:sz w:val="24"/>
          <w:szCs w:val="24"/>
          <w:lang w:val="en-AU"/>
        </w:rPr>
        <w:t xml:space="preserve"> be unfair </w:t>
      </w:r>
      <w:r w:rsidR="00723802">
        <w:rPr>
          <w:rFonts w:ascii="Calibri" w:eastAsia="Times" w:hAnsi="Calibri" w:cs="Calibri"/>
          <w:bCs/>
          <w:sz w:val="24"/>
          <w:szCs w:val="24"/>
          <w:lang w:val="en-AU"/>
        </w:rPr>
        <w:lastRenderedPageBreak/>
        <w:t xml:space="preserve">for a person to be susceptible to an adverse disciplinary finding under the Act for an action or omission which was not a disciplinary offence when it was carried out. </w:t>
      </w:r>
      <w:r w:rsidR="00DF274E">
        <w:rPr>
          <w:rFonts w:ascii="Calibri" w:eastAsia="Times" w:hAnsi="Calibri" w:cs="Calibri"/>
          <w:bCs/>
          <w:sz w:val="24"/>
          <w:szCs w:val="24"/>
          <w:lang w:val="en-AU"/>
        </w:rPr>
        <w:t xml:space="preserve">There is an argument to be made that it </w:t>
      </w:r>
      <w:r w:rsidR="00723802">
        <w:rPr>
          <w:rFonts w:ascii="Calibri" w:eastAsia="Times" w:hAnsi="Calibri" w:cs="Calibri"/>
          <w:bCs/>
          <w:sz w:val="24"/>
          <w:szCs w:val="24"/>
          <w:lang w:val="en-AU"/>
        </w:rPr>
        <w:t>can be assumed that Parliament would not</w:t>
      </w:r>
      <w:r w:rsidR="00CA0D7F">
        <w:rPr>
          <w:rFonts w:ascii="Calibri" w:eastAsia="Times" w:hAnsi="Calibri" w:cs="Calibri"/>
          <w:bCs/>
          <w:sz w:val="24"/>
          <w:szCs w:val="24"/>
          <w:lang w:val="en-AU"/>
        </w:rPr>
        <w:t xml:space="preserve"> have</w:t>
      </w:r>
      <w:r w:rsidR="00723802">
        <w:rPr>
          <w:rFonts w:ascii="Calibri" w:eastAsia="Times" w:hAnsi="Calibri" w:cs="Calibri"/>
          <w:bCs/>
          <w:sz w:val="24"/>
          <w:szCs w:val="24"/>
          <w:lang w:val="en-AU"/>
        </w:rPr>
        <w:t xml:space="preserve"> intend</w:t>
      </w:r>
      <w:r w:rsidR="00CA0D7F">
        <w:rPr>
          <w:rFonts w:ascii="Calibri" w:eastAsia="Times" w:hAnsi="Calibri" w:cs="Calibri"/>
          <w:bCs/>
          <w:sz w:val="24"/>
          <w:szCs w:val="24"/>
          <w:lang w:val="en-AU"/>
        </w:rPr>
        <w:t>ed</w:t>
      </w:r>
      <w:r w:rsidR="00723802">
        <w:rPr>
          <w:rFonts w:ascii="Calibri" w:eastAsia="Times" w:hAnsi="Calibri" w:cs="Calibri"/>
          <w:bCs/>
          <w:sz w:val="24"/>
          <w:szCs w:val="24"/>
          <w:lang w:val="en-AU"/>
        </w:rPr>
        <w:t xml:space="preserve"> such an unreasonable result</w:t>
      </w:r>
      <w:r w:rsidR="00B96383">
        <w:rPr>
          <w:rFonts w:ascii="Calibri" w:eastAsia="Times" w:hAnsi="Calibri" w:cs="Calibri"/>
          <w:bCs/>
          <w:sz w:val="24"/>
          <w:szCs w:val="24"/>
          <w:lang w:val="en-AU"/>
        </w:rPr>
        <w:t xml:space="preserve"> (</w:t>
      </w:r>
      <w:r w:rsidR="00723802">
        <w:rPr>
          <w:rFonts w:ascii="Calibri" w:eastAsia="Times" w:hAnsi="Calibri" w:cs="Calibri"/>
          <w:bCs/>
          <w:sz w:val="24"/>
          <w:szCs w:val="24"/>
          <w:lang w:val="en-AU"/>
        </w:rPr>
        <w:t>that a person should find himself or herself liable for a disciplinary offence for an even</w:t>
      </w:r>
      <w:r w:rsidR="00144B97">
        <w:rPr>
          <w:rFonts w:ascii="Calibri" w:eastAsia="Times" w:hAnsi="Calibri" w:cs="Calibri"/>
          <w:bCs/>
          <w:sz w:val="24"/>
          <w:szCs w:val="24"/>
          <w:lang w:val="en-AU"/>
        </w:rPr>
        <w:t>t</w:t>
      </w:r>
      <w:r w:rsidR="00723802">
        <w:rPr>
          <w:rFonts w:ascii="Calibri" w:eastAsia="Times" w:hAnsi="Calibri" w:cs="Calibri"/>
          <w:bCs/>
          <w:sz w:val="24"/>
          <w:szCs w:val="24"/>
          <w:lang w:val="en-AU"/>
        </w:rPr>
        <w:t xml:space="preserve"> that could not properly </w:t>
      </w:r>
      <w:r w:rsidR="00B96383">
        <w:rPr>
          <w:rFonts w:ascii="Calibri" w:eastAsia="Times" w:hAnsi="Calibri" w:cs="Calibri"/>
          <w:bCs/>
          <w:sz w:val="24"/>
          <w:szCs w:val="24"/>
          <w:lang w:val="en-AU"/>
        </w:rPr>
        <w:t>have been</w:t>
      </w:r>
      <w:r w:rsidR="00723802">
        <w:rPr>
          <w:rFonts w:ascii="Calibri" w:eastAsia="Times" w:hAnsi="Calibri" w:cs="Calibri"/>
          <w:bCs/>
          <w:sz w:val="24"/>
          <w:szCs w:val="24"/>
          <w:lang w:val="en-AU"/>
        </w:rPr>
        <w:t xml:space="preserve"> regarded as a disciplinary act when the person did it</w:t>
      </w:r>
      <w:r w:rsidR="00B96383">
        <w:rPr>
          <w:rFonts w:ascii="Calibri" w:eastAsia="Times" w:hAnsi="Calibri" w:cs="Calibri"/>
          <w:bCs/>
          <w:sz w:val="24"/>
          <w:szCs w:val="24"/>
          <w:lang w:val="en-AU"/>
        </w:rPr>
        <w:t>)</w:t>
      </w:r>
      <w:r w:rsidR="006C7165">
        <w:rPr>
          <w:rFonts w:ascii="Calibri" w:eastAsia="Times" w:hAnsi="Calibri" w:cs="Calibri"/>
          <w:bCs/>
          <w:sz w:val="24"/>
          <w:szCs w:val="24"/>
          <w:lang w:val="en-AU"/>
        </w:rPr>
        <w:t>,</w:t>
      </w:r>
      <w:r w:rsidR="00807412">
        <w:rPr>
          <w:rFonts w:ascii="Calibri" w:eastAsia="Times" w:hAnsi="Calibri" w:cs="Calibri"/>
          <w:bCs/>
          <w:sz w:val="24"/>
          <w:szCs w:val="24"/>
          <w:lang w:val="en-AU"/>
        </w:rPr>
        <w:t xml:space="preserve"> unless the Act </w:t>
      </w:r>
      <w:r w:rsidR="00666197">
        <w:rPr>
          <w:rFonts w:ascii="Calibri" w:eastAsia="Times" w:hAnsi="Calibri" w:cs="Calibri"/>
          <w:bCs/>
          <w:sz w:val="24"/>
          <w:szCs w:val="24"/>
          <w:lang w:val="en-AU"/>
        </w:rPr>
        <w:t>is clear that was Parliament</w:t>
      </w:r>
      <w:r w:rsidR="00DF274E">
        <w:rPr>
          <w:rFonts w:ascii="Calibri" w:eastAsia="Times" w:hAnsi="Calibri" w:cs="Calibri"/>
          <w:bCs/>
          <w:sz w:val="24"/>
          <w:szCs w:val="24"/>
          <w:lang w:val="en-AU"/>
        </w:rPr>
        <w:t>’s</w:t>
      </w:r>
      <w:r w:rsidR="00666197">
        <w:rPr>
          <w:rFonts w:ascii="Calibri" w:eastAsia="Times" w:hAnsi="Calibri" w:cs="Calibri"/>
          <w:bCs/>
          <w:sz w:val="24"/>
          <w:szCs w:val="24"/>
          <w:lang w:val="en-AU"/>
        </w:rPr>
        <w:t xml:space="preserve"> intention, either explicitly or by implication</w:t>
      </w:r>
      <w:r w:rsidR="00002CFF">
        <w:rPr>
          <w:rFonts w:ascii="Calibri" w:eastAsia="Times" w:hAnsi="Calibri" w:cs="Calibri"/>
          <w:bCs/>
          <w:sz w:val="24"/>
          <w:szCs w:val="24"/>
          <w:lang w:val="en-AU"/>
        </w:rPr>
        <w:t xml:space="preserve">. </w:t>
      </w:r>
    </w:p>
    <w:p w14:paraId="76D49A3D" w14:textId="346B7337" w:rsidR="00681A53" w:rsidRPr="00263B1D" w:rsidRDefault="00002CFF" w:rsidP="00263B1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As was said by Lord </w:t>
      </w:r>
      <w:proofErr w:type="spellStart"/>
      <w:r>
        <w:rPr>
          <w:rFonts w:ascii="Calibri" w:eastAsia="Times" w:hAnsi="Calibri" w:cs="Calibri"/>
          <w:bCs/>
          <w:sz w:val="24"/>
          <w:szCs w:val="24"/>
          <w:lang w:val="en-AU"/>
        </w:rPr>
        <w:t>Mustill</w:t>
      </w:r>
      <w:proofErr w:type="spellEnd"/>
      <w:r>
        <w:rPr>
          <w:rFonts w:ascii="Calibri" w:eastAsia="Times" w:hAnsi="Calibri" w:cs="Calibri"/>
          <w:bCs/>
          <w:sz w:val="24"/>
          <w:szCs w:val="24"/>
          <w:lang w:val="en-AU"/>
        </w:rPr>
        <w:t xml:space="preserve"> in </w:t>
      </w:r>
      <w:r w:rsidR="009B0BD3">
        <w:rPr>
          <w:rFonts w:ascii="Calibri" w:eastAsia="Times" w:hAnsi="Calibri" w:cs="Calibri"/>
          <w:bCs/>
          <w:i/>
          <w:iCs/>
          <w:sz w:val="24"/>
          <w:szCs w:val="24"/>
          <w:lang w:val="en-AU"/>
        </w:rPr>
        <w:t xml:space="preserve">State for Social Security v </w:t>
      </w:r>
      <w:proofErr w:type="spellStart"/>
      <w:r w:rsidR="009B0BD3">
        <w:rPr>
          <w:rFonts w:ascii="Calibri" w:eastAsia="Times" w:hAnsi="Calibri" w:cs="Calibri"/>
          <w:bCs/>
          <w:i/>
          <w:iCs/>
          <w:sz w:val="24"/>
          <w:szCs w:val="24"/>
          <w:lang w:val="en-AU"/>
        </w:rPr>
        <w:t>Tunnicliffe</w:t>
      </w:r>
      <w:proofErr w:type="spellEnd"/>
      <w:r w:rsidR="009B0BD3">
        <w:rPr>
          <w:rStyle w:val="FootnoteReference"/>
          <w:rFonts w:ascii="Calibri" w:eastAsia="Times" w:hAnsi="Calibri" w:cs="Calibri"/>
          <w:bCs/>
          <w:i/>
          <w:iCs/>
          <w:sz w:val="24"/>
          <w:szCs w:val="24"/>
          <w:lang w:val="en-AU"/>
        </w:rPr>
        <w:footnoteReference w:id="11"/>
      </w:r>
      <w:r w:rsidR="004A2E77">
        <w:rPr>
          <w:rFonts w:ascii="Calibri" w:eastAsia="Times" w:hAnsi="Calibri" w:cs="Calibri"/>
          <w:bCs/>
          <w:i/>
          <w:iCs/>
          <w:sz w:val="24"/>
          <w:szCs w:val="24"/>
          <w:lang w:val="en-AU"/>
        </w:rPr>
        <w:t xml:space="preserve"> </w:t>
      </w:r>
      <w:r w:rsidR="004A2E77">
        <w:rPr>
          <w:rFonts w:ascii="Calibri" w:eastAsia="Times" w:hAnsi="Calibri" w:cs="Calibri"/>
          <w:bCs/>
          <w:sz w:val="24"/>
          <w:szCs w:val="24"/>
          <w:lang w:val="en-AU"/>
        </w:rPr>
        <w:t>at [724]</w:t>
      </w:r>
      <w:r w:rsidR="00335703">
        <w:rPr>
          <w:rFonts w:ascii="Calibri" w:eastAsia="Times" w:hAnsi="Calibri" w:cs="Calibri"/>
          <w:bCs/>
          <w:sz w:val="24"/>
          <w:szCs w:val="24"/>
          <w:lang w:val="en-AU"/>
        </w:rPr>
        <w:t xml:space="preserve"> (referred to by Asher J in </w:t>
      </w:r>
      <w:r w:rsidR="00335703">
        <w:rPr>
          <w:rFonts w:ascii="Calibri" w:eastAsia="Times" w:hAnsi="Calibri" w:cs="Calibri"/>
          <w:bCs/>
          <w:i/>
          <w:iCs/>
          <w:sz w:val="24"/>
          <w:szCs w:val="24"/>
          <w:lang w:val="en-AU"/>
        </w:rPr>
        <w:t xml:space="preserve">Art Deco Society (Auckland) Inc v Auckland City </w:t>
      </w:r>
      <w:r w:rsidR="00263B1D" w:rsidRPr="000B5E9C">
        <w:rPr>
          <w:rFonts w:ascii="Calibri" w:eastAsia="Times" w:hAnsi="Calibri" w:cs="Calibri"/>
          <w:bCs/>
          <w:sz w:val="24"/>
          <w:szCs w:val="24"/>
          <w:lang w:val="en-AU"/>
        </w:rPr>
        <w:t>Council</w:t>
      </w:r>
      <w:r w:rsidR="00D95059">
        <w:rPr>
          <w:rFonts w:ascii="Calibri" w:eastAsia="Times" w:hAnsi="Calibri" w:cs="Calibri"/>
          <w:bCs/>
          <w:sz w:val="24"/>
          <w:szCs w:val="24"/>
          <w:lang w:val="en-AU"/>
        </w:rPr>
        <w:t>)</w:t>
      </w:r>
      <w:r w:rsidR="00335703">
        <w:rPr>
          <w:rStyle w:val="FootnoteReference"/>
          <w:rFonts w:ascii="Calibri" w:eastAsia="Times" w:hAnsi="Calibri" w:cs="Calibri"/>
          <w:bCs/>
          <w:i/>
          <w:iCs/>
          <w:sz w:val="24"/>
          <w:szCs w:val="24"/>
          <w:lang w:val="en-AU"/>
        </w:rPr>
        <w:footnoteReference w:id="12"/>
      </w:r>
      <w:r w:rsidR="00335703">
        <w:rPr>
          <w:rFonts w:ascii="Calibri" w:eastAsia="Times" w:hAnsi="Calibri" w:cs="Calibri"/>
          <w:bCs/>
          <w:sz w:val="24"/>
          <w:szCs w:val="24"/>
          <w:lang w:val="en-AU"/>
        </w:rPr>
        <w:t>:</w:t>
      </w:r>
    </w:p>
    <w:p w14:paraId="62CC6EBC" w14:textId="0948B4B5" w:rsidR="00681A53" w:rsidRPr="004A2E77" w:rsidRDefault="00681A53" w:rsidP="00F82003">
      <w:pPr>
        <w:tabs>
          <w:tab w:val="left" w:pos="567"/>
        </w:tabs>
        <w:spacing w:after="0" w:line="360" w:lineRule="auto"/>
        <w:ind w:left="1440"/>
        <w:jc w:val="both"/>
        <w:rPr>
          <w:rFonts w:ascii="Calibri" w:eastAsia="Times" w:hAnsi="Calibri" w:cs="Calibri"/>
          <w:bCs/>
          <w:lang w:val="en-AU"/>
        </w:rPr>
      </w:pPr>
      <w:r>
        <w:rPr>
          <w:rFonts w:ascii="Calibri" w:eastAsia="Times" w:hAnsi="Calibri" w:cs="Calibri"/>
          <w:bCs/>
          <w:lang w:val="en-AU"/>
        </w:rPr>
        <w:t>“</w:t>
      </w:r>
      <w:r w:rsidR="004A2E77">
        <w:rPr>
          <w:rFonts w:ascii="Calibri" w:eastAsia="Times" w:hAnsi="Calibri" w:cs="Calibri"/>
          <w:bCs/>
          <w:lang w:val="en-AU"/>
        </w:rPr>
        <w:t xml:space="preserve">In my judgment the true principle is that Parliament is presumed not to have intended to alter the law applicable to past events and transactions in a manner which is unfair to those concerned in them, unless a contrary intention appears. It is </w:t>
      </w:r>
      <w:r w:rsidR="00DF4011">
        <w:rPr>
          <w:rFonts w:ascii="Calibri" w:eastAsia="Times" w:hAnsi="Calibri" w:cs="Calibri"/>
          <w:bCs/>
          <w:lang w:val="en-AU"/>
        </w:rPr>
        <w:t xml:space="preserve">not </w:t>
      </w:r>
      <w:r w:rsidR="004A2E77">
        <w:rPr>
          <w:rFonts w:ascii="Calibri" w:eastAsia="Times" w:hAnsi="Calibri" w:cs="Calibri"/>
          <w:bCs/>
          <w:lang w:val="en-AU"/>
        </w:rPr>
        <w:t xml:space="preserve">simply a question of classifying an enactment as </w:t>
      </w:r>
      <w:r w:rsidR="00DF4011">
        <w:rPr>
          <w:rFonts w:ascii="Calibri" w:eastAsia="Times" w:hAnsi="Calibri" w:cs="Calibri"/>
          <w:bCs/>
          <w:lang w:val="en-AU"/>
        </w:rPr>
        <w:t>retrospective or not retrospective. Rather, it may well be a matter of degree – the greater the unfairness, the more it is to be expected that Parliament will make it clear if that is intended”.</w:t>
      </w:r>
    </w:p>
    <w:p w14:paraId="2B0AC0D9" w14:textId="77777777" w:rsidR="00B12E0A" w:rsidRPr="00B12E0A" w:rsidRDefault="00B86217" w:rsidP="00DF29AB">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4"/>
          <w:lang w:val="en-AU"/>
        </w:rPr>
        <w:t>Section 6 of the Interpretation Act 1999</w:t>
      </w:r>
      <w:r w:rsidR="00C54EF7">
        <w:rPr>
          <w:rFonts w:ascii="Calibri" w:eastAsia="Times" w:hAnsi="Calibri" w:cs="Calibri"/>
          <w:bCs/>
          <w:sz w:val="24"/>
          <w:szCs w:val="24"/>
          <w:lang w:val="en-AU"/>
        </w:rPr>
        <w:t xml:space="preserve"> provides that an Act applies to circumstances as they arise. That is, </w:t>
      </w:r>
      <w:r w:rsidR="006535D0">
        <w:rPr>
          <w:rFonts w:ascii="Calibri" w:eastAsia="Times" w:hAnsi="Calibri" w:cs="Calibri"/>
          <w:bCs/>
          <w:sz w:val="24"/>
          <w:szCs w:val="24"/>
          <w:lang w:val="en-AU"/>
        </w:rPr>
        <w:t xml:space="preserve">the law shall be considered as always speaking, </w:t>
      </w:r>
      <w:r w:rsidR="00C47152">
        <w:rPr>
          <w:rFonts w:ascii="Calibri" w:eastAsia="Times" w:hAnsi="Calibri" w:cs="Calibri"/>
          <w:bCs/>
          <w:sz w:val="24"/>
          <w:szCs w:val="24"/>
          <w:lang w:val="en-AU"/>
        </w:rPr>
        <w:t>and Acts are forward-looking, and are intended to apply to all situations arising or continuing after they have come into force.</w:t>
      </w:r>
      <w:r w:rsidR="00AF56A9">
        <w:rPr>
          <w:rFonts w:ascii="Calibri" w:eastAsia="Times" w:hAnsi="Calibri" w:cs="Calibri"/>
          <w:bCs/>
          <w:sz w:val="24"/>
          <w:szCs w:val="24"/>
          <w:lang w:val="en-AU"/>
        </w:rPr>
        <w:t xml:space="preserve"> </w:t>
      </w:r>
    </w:p>
    <w:p w14:paraId="34C6BFA1" w14:textId="77777777" w:rsidR="00B12E0A" w:rsidRPr="00B12E0A" w:rsidRDefault="00FE36A0" w:rsidP="00DF29AB">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4"/>
          <w:lang w:val="en-AU"/>
        </w:rPr>
        <w:t xml:space="preserve">Section 7 of the Interpretation Act 1999 provides that an enactment does not have retrospective effect. </w:t>
      </w:r>
    </w:p>
    <w:p w14:paraId="654E4590" w14:textId="0FB99B4E" w:rsidR="009F3095" w:rsidRPr="00DF29AB" w:rsidRDefault="0070452D" w:rsidP="00DF29AB">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sidRPr="00DF29AB">
        <w:rPr>
          <w:rFonts w:ascii="Calibri" w:eastAsia="Times" w:hAnsi="Calibri" w:cs="Calibri"/>
          <w:bCs/>
          <w:sz w:val="24"/>
          <w:szCs w:val="24"/>
          <w:lang w:val="en-AU"/>
        </w:rPr>
        <w:t>As was said</w:t>
      </w:r>
      <w:r w:rsidR="00D447D1" w:rsidRPr="00DF29AB">
        <w:rPr>
          <w:rFonts w:ascii="Calibri" w:eastAsia="Times" w:hAnsi="Calibri" w:cs="Calibri"/>
          <w:bCs/>
          <w:sz w:val="24"/>
          <w:szCs w:val="24"/>
          <w:lang w:val="en-AU"/>
        </w:rPr>
        <w:t xml:space="preserve"> by the High Court</w:t>
      </w:r>
      <w:r w:rsidRPr="00DF29AB">
        <w:rPr>
          <w:rFonts w:ascii="Calibri" w:eastAsia="Times" w:hAnsi="Calibri" w:cs="Calibri"/>
          <w:bCs/>
          <w:sz w:val="24"/>
          <w:szCs w:val="24"/>
          <w:lang w:val="en-AU"/>
        </w:rPr>
        <w:t xml:space="preserve"> in </w:t>
      </w:r>
      <w:r w:rsidRPr="00DF29AB">
        <w:rPr>
          <w:rFonts w:ascii="Calibri" w:eastAsia="Times" w:hAnsi="Calibri" w:cs="Calibri"/>
          <w:bCs/>
          <w:i/>
          <w:iCs/>
          <w:sz w:val="24"/>
          <w:szCs w:val="24"/>
          <w:lang w:val="en-AU"/>
        </w:rPr>
        <w:t>Art Deco Society (Auckland) Inc v Auckland City Council</w:t>
      </w:r>
      <w:r>
        <w:rPr>
          <w:rStyle w:val="FootnoteReference"/>
          <w:rFonts w:ascii="Calibri" w:eastAsia="Times" w:hAnsi="Calibri" w:cs="Calibri"/>
          <w:bCs/>
          <w:i/>
          <w:iCs/>
          <w:sz w:val="24"/>
          <w:szCs w:val="24"/>
          <w:lang w:val="en-AU"/>
        </w:rPr>
        <w:footnoteReference w:id="13"/>
      </w:r>
      <w:r w:rsidR="00D447D1" w:rsidRPr="00DF29AB">
        <w:rPr>
          <w:rFonts w:ascii="Calibri" w:eastAsia="Times" w:hAnsi="Calibri" w:cs="Calibri"/>
          <w:bCs/>
          <w:sz w:val="24"/>
          <w:szCs w:val="24"/>
          <w:lang w:val="en-AU"/>
        </w:rPr>
        <w:t xml:space="preserve"> </w:t>
      </w:r>
      <w:r w:rsidR="00FE36A0" w:rsidRPr="00DF29AB">
        <w:rPr>
          <w:rFonts w:ascii="Calibri" w:eastAsia="Times" w:hAnsi="Calibri" w:cs="Calibri"/>
          <w:bCs/>
          <w:sz w:val="24"/>
          <w:szCs w:val="20"/>
          <w:lang w:val="en-AU"/>
        </w:rPr>
        <w:t xml:space="preserve"> sections</w:t>
      </w:r>
      <w:r w:rsidR="00ED6066">
        <w:rPr>
          <w:rFonts w:ascii="Calibri" w:eastAsia="Times" w:hAnsi="Calibri" w:cs="Calibri"/>
          <w:bCs/>
          <w:sz w:val="24"/>
          <w:szCs w:val="20"/>
          <w:lang w:val="en-AU"/>
        </w:rPr>
        <w:t xml:space="preserve"> 6 and 7</w:t>
      </w:r>
      <w:r w:rsidR="00FE36A0" w:rsidRPr="00DF29AB">
        <w:rPr>
          <w:rFonts w:ascii="Calibri" w:eastAsia="Times" w:hAnsi="Calibri" w:cs="Calibri"/>
          <w:bCs/>
          <w:sz w:val="24"/>
          <w:szCs w:val="20"/>
          <w:lang w:val="en-AU"/>
        </w:rPr>
        <w:t xml:space="preserve"> are not absolute rules. They do no more than continue the traditional common law presumptions that statutes are always speaking, and against retrospectivity</w:t>
      </w:r>
      <w:r w:rsidR="00FE36A0">
        <w:rPr>
          <w:rStyle w:val="FootnoteReference"/>
          <w:rFonts w:ascii="Calibri" w:eastAsia="Times" w:hAnsi="Calibri" w:cs="Calibri"/>
          <w:bCs/>
          <w:sz w:val="24"/>
          <w:szCs w:val="20"/>
          <w:lang w:val="en-AU"/>
        </w:rPr>
        <w:footnoteReference w:id="14"/>
      </w:r>
      <w:r w:rsidR="00FE36A0" w:rsidRPr="00DF29AB">
        <w:rPr>
          <w:rFonts w:ascii="Calibri" w:eastAsia="Times" w:hAnsi="Calibri" w:cs="Calibri"/>
          <w:bCs/>
          <w:sz w:val="24"/>
          <w:szCs w:val="20"/>
          <w:lang w:val="en-AU"/>
        </w:rPr>
        <w:t xml:space="preserve">. </w:t>
      </w:r>
    </w:p>
    <w:p w14:paraId="6167ABAD" w14:textId="7356B3F4" w:rsidR="009F3095" w:rsidRPr="00255BBD" w:rsidRDefault="009F3095" w:rsidP="00255BBD">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Section 4 of the Interpretation Act 1999 is clear that if the words of an Act provide otherwise, or the context of the Act requires a different interpretation, an Act may not apply to circumstances as they arise, or alternatively, an Act may be retrospective. The </w:t>
      </w:r>
      <w:r>
        <w:rPr>
          <w:rFonts w:ascii="Calibri" w:eastAsia="Times" w:hAnsi="Calibri" w:cs="Calibri"/>
          <w:bCs/>
          <w:sz w:val="24"/>
          <w:szCs w:val="20"/>
          <w:lang w:val="en-AU"/>
        </w:rPr>
        <w:lastRenderedPageBreak/>
        <w:t>traditional approach of considering any presumption against the words in the context of the Act</w:t>
      </w:r>
      <w:r w:rsidR="00BB10C8">
        <w:rPr>
          <w:rFonts w:ascii="Calibri" w:eastAsia="Times" w:hAnsi="Calibri" w:cs="Calibri"/>
          <w:bCs/>
          <w:sz w:val="24"/>
          <w:szCs w:val="20"/>
          <w:lang w:val="en-AU"/>
        </w:rPr>
        <w:t>,</w:t>
      </w:r>
      <w:r>
        <w:rPr>
          <w:rFonts w:ascii="Calibri" w:eastAsia="Times" w:hAnsi="Calibri" w:cs="Calibri"/>
          <w:bCs/>
          <w:sz w:val="24"/>
          <w:szCs w:val="20"/>
          <w:lang w:val="en-AU"/>
        </w:rPr>
        <w:t xml:space="preserve"> remains</w:t>
      </w:r>
      <w:r w:rsidR="00255BBD">
        <w:rPr>
          <w:rFonts w:ascii="Calibri" w:eastAsia="Times" w:hAnsi="Calibri" w:cs="Calibri"/>
          <w:bCs/>
          <w:sz w:val="24"/>
          <w:szCs w:val="20"/>
          <w:lang w:val="en-AU"/>
        </w:rPr>
        <w:t>.</w:t>
      </w:r>
    </w:p>
    <w:p w14:paraId="26DF7F7A" w14:textId="7BD061D4" w:rsidR="00681A53" w:rsidRPr="002566D1" w:rsidRDefault="00FB3A97" w:rsidP="002566D1">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As </w:t>
      </w:r>
      <w:r w:rsidR="00BB10C8">
        <w:rPr>
          <w:rFonts w:ascii="Calibri" w:eastAsia="Times" w:hAnsi="Calibri" w:cs="Calibri"/>
          <w:bCs/>
          <w:sz w:val="24"/>
          <w:szCs w:val="20"/>
          <w:lang w:val="en-AU"/>
        </w:rPr>
        <w:t>Asher J</w:t>
      </w:r>
      <w:r>
        <w:rPr>
          <w:rFonts w:ascii="Calibri" w:eastAsia="Times" w:hAnsi="Calibri" w:cs="Calibri"/>
          <w:bCs/>
          <w:sz w:val="24"/>
          <w:szCs w:val="20"/>
          <w:lang w:val="en-AU"/>
        </w:rPr>
        <w:t xml:space="preserve"> observed in </w:t>
      </w:r>
      <w:r>
        <w:rPr>
          <w:rFonts w:ascii="Calibri" w:eastAsia="Times" w:hAnsi="Calibri" w:cs="Calibri"/>
          <w:bCs/>
          <w:i/>
          <w:iCs/>
          <w:sz w:val="24"/>
          <w:szCs w:val="20"/>
          <w:lang w:val="en-AU"/>
        </w:rPr>
        <w:t xml:space="preserve">Art Deco Society </w:t>
      </w:r>
      <w:r>
        <w:rPr>
          <w:rFonts w:ascii="Calibri" w:eastAsia="Times" w:hAnsi="Calibri" w:cs="Calibri"/>
          <w:bCs/>
          <w:sz w:val="24"/>
          <w:szCs w:val="20"/>
          <w:lang w:val="en-AU"/>
        </w:rPr>
        <w:t>at [</w:t>
      </w:r>
      <w:r w:rsidR="00293F35">
        <w:rPr>
          <w:rFonts w:ascii="Calibri" w:eastAsia="Times" w:hAnsi="Calibri" w:cs="Calibri"/>
          <w:bCs/>
          <w:sz w:val="24"/>
          <w:szCs w:val="20"/>
          <w:lang w:val="en-AU"/>
        </w:rPr>
        <w:t>49]:</w:t>
      </w:r>
      <w:r w:rsidR="00FE36A0">
        <w:rPr>
          <w:rFonts w:ascii="Calibri" w:eastAsia="Times" w:hAnsi="Calibri" w:cs="Calibri"/>
          <w:bCs/>
          <w:sz w:val="24"/>
          <w:szCs w:val="20"/>
          <w:lang w:val="en-AU"/>
        </w:rPr>
        <w:t xml:space="preserve"> </w:t>
      </w:r>
    </w:p>
    <w:p w14:paraId="54CA2FC3" w14:textId="23226497" w:rsidR="0027647A" w:rsidRDefault="00681A53" w:rsidP="0027647A">
      <w:pPr>
        <w:tabs>
          <w:tab w:val="left" w:pos="567"/>
        </w:tabs>
        <w:spacing w:after="0" w:line="360" w:lineRule="auto"/>
        <w:ind w:left="1440"/>
        <w:jc w:val="both"/>
        <w:rPr>
          <w:rFonts w:ascii="Calibri" w:eastAsia="Times" w:hAnsi="Calibri" w:cs="Calibri"/>
          <w:bCs/>
          <w:lang w:val="en-AU"/>
        </w:rPr>
      </w:pPr>
      <w:r>
        <w:rPr>
          <w:rFonts w:ascii="Calibri" w:eastAsia="Times" w:hAnsi="Calibri" w:cs="Calibri"/>
          <w:bCs/>
          <w:lang w:val="en-AU"/>
        </w:rPr>
        <w:t>“</w:t>
      </w:r>
      <w:r w:rsidR="00352538" w:rsidRPr="00165981">
        <w:rPr>
          <w:rFonts w:ascii="Calibri" w:eastAsia="Times" w:hAnsi="Calibri" w:cs="Calibri"/>
          <w:bCs/>
          <w:lang w:val="en-AU"/>
        </w:rPr>
        <w:t>the approach to interpretation indicated in section</w:t>
      </w:r>
      <w:r w:rsidR="00FE36A0" w:rsidRPr="00165981">
        <w:rPr>
          <w:rFonts w:ascii="Calibri" w:eastAsia="Times" w:hAnsi="Calibri" w:cs="Calibri"/>
          <w:bCs/>
          <w:lang w:val="en-AU"/>
        </w:rPr>
        <w:t xml:space="preserve"> 6</w:t>
      </w:r>
      <w:r w:rsidR="00352538" w:rsidRPr="00165981">
        <w:rPr>
          <w:rFonts w:ascii="Calibri" w:eastAsia="Times" w:hAnsi="Calibri" w:cs="Calibri"/>
          <w:bCs/>
          <w:lang w:val="en-AU"/>
        </w:rPr>
        <w:t xml:space="preserve"> is consistent with the notion that legislation is given a </w:t>
      </w:r>
      <w:proofErr w:type="spellStart"/>
      <w:r w:rsidR="00352538" w:rsidRPr="00165981">
        <w:rPr>
          <w:rFonts w:ascii="Calibri" w:eastAsia="Times" w:hAnsi="Calibri" w:cs="Calibri"/>
          <w:bCs/>
          <w:lang w:val="en-AU"/>
        </w:rPr>
        <w:t>commonsense</w:t>
      </w:r>
      <w:proofErr w:type="spellEnd"/>
      <w:r w:rsidR="00352538" w:rsidRPr="00165981">
        <w:rPr>
          <w:rFonts w:ascii="Calibri" w:eastAsia="Times" w:hAnsi="Calibri" w:cs="Calibri"/>
          <w:bCs/>
          <w:lang w:val="en-AU"/>
        </w:rPr>
        <w:t xml:space="preserve"> interpretation, in accordance with ordinary notions of fairness. </w:t>
      </w:r>
      <w:r w:rsidR="00045246" w:rsidRPr="00165981">
        <w:rPr>
          <w:rFonts w:ascii="Calibri" w:eastAsia="Times" w:hAnsi="Calibri" w:cs="Calibri"/>
          <w:bCs/>
          <w:lang w:val="en-AU"/>
        </w:rPr>
        <w:t>If there is a tension between sections 6 and 7 of the Interpretation Act 1999, then it is necessary to consider the words and context of the Act in question, as required by section 4 of the Interpretation Act 1999, to resolve that tension</w:t>
      </w:r>
      <w:r w:rsidR="00FE36A0" w:rsidRPr="00165981">
        <w:rPr>
          <w:rFonts w:ascii="Calibri" w:eastAsia="Times" w:hAnsi="Calibri" w:cs="Calibri"/>
          <w:bCs/>
          <w:lang w:val="en-AU"/>
        </w:rPr>
        <w:t>.</w:t>
      </w:r>
      <w:r>
        <w:rPr>
          <w:rFonts w:ascii="Calibri" w:eastAsia="Times" w:hAnsi="Calibri" w:cs="Calibri"/>
          <w:bCs/>
          <w:lang w:val="en-AU"/>
        </w:rPr>
        <w:t>”</w:t>
      </w:r>
    </w:p>
    <w:p w14:paraId="58F2F2A3" w14:textId="7C0FD2F9" w:rsidR="00580D47" w:rsidRPr="00580D47" w:rsidRDefault="007D759B" w:rsidP="00BB5678">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In summary, t</w:t>
      </w:r>
      <w:r w:rsidR="00F90286">
        <w:rPr>
          <w:rFonts w:ascii="Calibri" w:eastAsia="Times" w:hAnsi="Calibri" w:cs="Calibri"/>
          <w:bCs/>
          <w:sz w:val="24"/>
          <w:szCs w:val="20"/>
          <w:lang w:val="en-AU"/>
        </w:rPr>
        <w:t>he effect</w:t>
      </w:r>
      <w:r w:rsidR="00293F35">
        <w:rPr>
          <w:rFonts w:ascii="Calibri" w:eastAsia="Times" w:hAnsi="Calibri" w:cs="Calibri"/>
          <w:bCs/>
          <w:sz w:val="24"/>
          <w:szCs w:val="20"/>
          <w:lang w:val="en-AU"/>
        </w:rPr>
        <w:t xml:space="preserve"> of those provisions</w:t>
      </w:r>
      <w:r w:rsidR="00F90286">
        <w:rPr>
          <w:rFonts w:ascii="Calibri" w:eastAsia="Times" w:hAnsi="Calibri" w:cs="Calibri"/>
          <w:bCs/>
          <w:sz w:val="24"/>
          <w:szCs w:val="20"/>
          <w:lang w:val="en-AU"/>
        </w:rPr>
        <w:t xml:space="preserve"> is</w:t>
      </w:r>
      <w:r w:rsidR="0073252B">
        <w:rPr>
          <w:rFonts w:ascii="Calibri" w:eastAsia="Times" w:hAnsi="Calibri" w:cs="Calibri"/>
          <w:bCs/>
          <w:sz w:val="24"/>
          <w:szCs w:val="20"/>
          <w:lang w:val="en-AU"/>
        </w:rPr>
        <w:t xml:space="preserve"> that Courts</w:t>
      </w:r>
      <w:r w:rsidR="00B620B4">
        <w:rPr>
          <w:rFonts w:ascii="Calibri" w:eastAsia="Times" w:hAnsi="Calibri" w:cs="Calibri"/>
          <w:bCs/>
          <w:sz w:val="24"/>
          <w:szCs w:val="24"/>
          <w:lang w:val="en-AU"/>
        </w:rPr>
        <w:t xml:space="preserve"> will not readily</w:t>
      </w:r>
      <w:r w:rsidR="00EC22AA">
        <w:rPr>
          <w:rFonts w:ascii="Calibri" w:eastAsia="Times" w:hAnsi="Calibri" w:cs="Calibri"/>
          <w:bCs/>
          <w:sz w:val="24"/>
          <w:szCs w:val="24"/>
          <w:lang w:val="en-AU"/>
        </w:rPr>
        <w:t xml:space="preserve"> interpret a statute as having retrospective effect unless the intention of the legislature to do so is clear</w:t>
      </w:r>
      <w:r w:rsidR="00EE4711">
        <w:rPr>
          <w:rFonts w:ascii="Calibri" w:eastAsia="Times" w:hAnsi="Calibri" w:cs="Calibri"/>
          <w:bCs/>
          <w:sz w:val="24"/>
          <w:szCs w:val="24"/>
          <w:lang w:val="en-AU"/>
        </w:rPr>
        <w:t>, particularly where unjust consequences may follow</w:t>
      </w:r>
      <w:r w:rsidR="00EC22AA">
        <w:rPr>
          <w:rFonts w:ascii="Calibri" w:eastAsia="Times" w:hAnsi="Calibri" w:cs="Calibri"/>
          <w:bCs/>
          <w:sz w:val="24"/>
          <w:szCs w:val="24"/>
          <w:lang w:val="en-AU"/>
        </w:rPr>
        <w:t>.</w:t>
      </w:r>
      <w:r w:rsidR="002A2D56" w:rsidRPr="002A2D56">
        <w:rPr>
          <w:rFonts w:ascii="Calibri" w:eastAsia="Times" w:hAnsi="Calibri" w:cs="Calibri"/>
          <w:bCs/>
          <w:sz w:val="24"/>
          <w:szCs w:val="24"/>
          <w:lang w:val="en-AU"/>
        </w:rPr>
        <w:t xml:space="preserve"> </w:t>
      </w:r>
    </w:p>
    <w:p w14:paraId="024597D4" w14:textId="6843CDFA" w:rsidR="00F05B3B" w:rsidRDefault="00BB5678" w:rsidP="00BB5678">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sidRPr="00BB5678">
        <w:rPr>
          <w:rFonts w:ascii="Calibri" w:eastAsia="Times" w:hAnsi="Calibri" w:cs="Calibri"/>
          <w:bCs/>
          <w:sz w:val="24"/>
          <w:szCs w:val="20"/>
          <w:lang w:val="en-AU"/>
        </w:rPr>
        <w:t>The real question</w:t>
      </w:r>
      <w:r w:rsidR="00A67C49">
        <w:rPr>
          <w:rFonts w:ascii="Calibri" w:eastAsia="Times" w:hAnsi="Calibri" w:cs="Calibri"/>
          <w:bCs/>
          <w:sz w:val="24"/>
          <w:szCs w:val="20"/>
          <w:lang w:val="en-AU"/>
        </w:rPr>
        <w:t xml:space="preserve"> therefore,</w:t>
      </w:r>
      <w:r w:rsidRPr="00BB5678">
        <w:rPr>
          <w:rFonts w:ascii="Calibri" w:eastAsia="Times" w:hAnsi="Calibri" w:cs="Calibri"/>
          <w:bCs/>
          <w:sz w:val="24"/>
          <w:szCs w:val="20"/>
          <w:lang w:val="en-AU"/>
        </w:rPr>
        <w:t xml:space="preserve"> is whether Parliament has demonstrated with sufficient clarity, either expressly or by distinct and necessary implication, that </w:t>
      </w:r>
      <w:r w:rsidR="006A6989">
        <w:rPr>
          <w:rFonts w:ascii="Calibri" w:eastAsia="Times" w:hAnsi="Calibri" w:cs="Calibri"/>
          <w:bCs/>
          <w:sz w:val="24"/>
          <w:szCs w:val="20"/>
          <w:lang w:val="en-AU"/>
        </w:rPr>
        <w:t>sections 82(1)(</w:t>
      </w:r>
      <w:r w:rsidR="000505E9">
        <w:rPr>
          <w:rFonts w:ascii="Calibri" w:eastAsia="Times" w:hAnsi="Calibri" w:cs="Calibri"/>
          <w:bCs/>
          <w:sz w:val="24"/>
          <w:szCs w:val="20"/>
          <w:lang w:val="en-AU"/>
        </w:rPr>
        <w:t>a) and (b)</w:t>
      </w:r>
      <w:r w:rsidRPr="00BB5678">
        <w:rPr>
          <w:rFonts w:ascii="Calibri" w:eastAsia="Times" w:hAnsi="Calibri" w:cs="Calibri"/>
          <w:bCs/>
          <w:sz w:val="24"/>
          <w:szCs w:val="20"/>
          <w:lang w:val="en-AU"/>
        </w:rPr>
        <w:t xml:space="preserve"> </w:t>
      </w:r>
      <w:r w:rsidR="005656B5">
        <w:rPr>
          <w:rFonts w:ascii="Calibri" w:eastAsia="Times" w:hAnsi="Calibri" w:cs="Calibri"/>
          <w:bCs/>
          <w:sz w:val="24"/>
          <w:szCs w:val="20"/>
          <w:lang w:val="en-AU"/>
        </w:rPr>
        <w:t xml:space="preserve">of the SWR Act </w:t>
      </w:r>
      <w:r w:rsidRPr="00BB5678">
        <w:rPr>
          <w:rFonts w:ascii="Calibri" w:eastAsia="Times" w:hAnsi="Calibri" w:cs="Calibri"/>
          <w:bCs/>
          <w:sz w:val="24"/>
          <w:szCs w:val="20"/>
          <w:lang w:val="en-AU"/>
        </w:rPr>
        <w:t xml:space="preserve">shall have </w:t>
      </w:r>
      <w:r w:rsidR="000505E9">
        <w:rPr>
          <w:rFonts w:ascii="Calibri" w:eastAsia="Times" w:hAnsi="Calibri" w:cs="Calibri"/>
          <w:bCs/>
          <w:sz w:val="24"/>
          <w:szCs w:val="20"/>
          <w:lang w:val="en-AU"/>
        </w:rPr>
        <w:t xml:space="preserve">retrospective </w:t>
      </w:r>
      <w:r w:rsidRPr="00BB5678">
        <w:rPr>
          <w:rFonts w:ascii="Calibri" w:eastAsia="Times" w:hAnsi="Calibri" w:cs="Calibri"/>
          <w:bCs/>
          <w:sz w:val="24"/>
          <w:szCs w:val="20"/>
          <w:lang w:val="en-AU"/>
        </w:rPr>
        <w:t>effect</w:t>
      </w:r>
      <w:r w:rsidR="00580D47">
        <w:rPr>
          <w:rFonts w:ascii="Calibri" w:eastAsia="Times" w:hAnsi="Calibri" w:cs="Calibri"/>
          <w:bCs/>
          <w:sz w:val="24"/>
          <w:szCs w:val="20"/>
          <w:lang w:val="en-AU"/>
        </w:rPr>
        <w:t xml:space="preserve"> </w:t>
      </w:r>
      <w:r w:rsidR="00DC48AE">
        <w:rPr>
          <w:rFonts w:ascii="Calibri" w:eastAsia="Times" w:hAnsi="Calibri" w:cs="Calibri"/>
          <w:bCs/>
          <w:sz w:val="24"/>
          <w:szCs w:val="20"/>
          <w:lang w:val="en-AU"/>
        </w:rPr>
        <w:t>in respect</w:t>
      </w:r>
      <w:r w:rsidR="00A67C49">
        <w:rPr>
          <w:rFonts w:ascii="Calibri" w:eastAsia="Times" w:hAnsi="Calibri" w:cs="Calibri"/>
          <w:bCs/>
          <w:sz w:val="24"/>
          <w:szCs w:val="20"/>
          <w:lang w:val="en-AU"/>
        </w:rPr>
        <w:t xml:space="preserve"> </w:t>
      </w:r>
      <w:r w:rsidR="00DC48AE">
        <w:rPr>
          <w:rFonts w:ascii="Calibri" w:eastAsia="Times" w:hAnsi="Calibri" w:cs="Calibri"/>
          <w:bCs/>
          <w:sz w:val="24"/>
          <w:szCs w:val="20"/>
          <w:lang w:val="en-AU"/>
        </w:rPr>
        <w:t>of</w:t>
      </w:r>
      <w:r w:rsidR="00A67C49">
        <w:rPr>
          <w:rFonts w:ascii="Calibri" w:eastAsia="Times" w:hAnsi="Calibri" w:cs="Calibri"/>
          <w:bCs/>
          <w:sz w:val="24"/>
          <w:szCs w:val="20"/>
          <w:lang w:val="en-AU"/>
        </w:rPr>
        <w:t xml:space="preserve"> the conduct of</w:t>
      </w:r>
      <w:r w:rsidR="00DC48AE">
        <w:rPr>
          <w:rFonts w:ascii="Calibri" w:eastAsia="Times" w:hAnsi="Calibri" w:cs="Calibri"/>
          <w:bCs/>
          <w:sz w:val="24"/>
          <w:szCs w:val="20"/>
          <w:lang w:val="en-AU"/>
        </w:rPr>
        <w:t xml:space="preserve"> registered social workers </w:t>
      </w:r>
      <w:r w:rsidR="008278DD">
        <w:rPr>
          <w:rFonts w:ascii="Calibri" w:eastAsia="Times" w:hAnsi="Calibri" w:cs="Calibri"/>
          <w:bCs/>
          <w:sz w:val="24"/>
          <w:szCs w:val="20"/>
          <w:lang w:val="en-AU"/>
        </w:rPr>
        <w:t xml:space="preserve">that was committed </w:t>
      </w:r>
      <w:r w:rsidR="006F39C6">
        <w:rPr>
          <w:rFonts w:ascii="Calibri" w:eastAsia="Times" w:hAnsi="Calibri" w:cs="Calibri"/>
          <w:bCs/>
          <w:sz w:val="24"/>
          <w:szCs w:val="20"/>
          <w:lang w:val="en-AU"/>
        </w:rPr>
        <w:t>before they</w:t>
      </w:r>
      <w:r w:rsidR="00DC48AE">
        <w:rPr>
          <w:rFonts w:ascii="Calibri" w:eastAsia="Times" w:hAnsi="Calibri" w:cs="Calibri"/>
          <w:bCs/>
          <w:sz w:val="24"/>
          <w:szCs w:val="20"/>
          <w:lang w:val="en-AU"/>
        </w:rPr>
        <w:t xml:space="preserve"> registered.</w:t>
      </w:r>
    </w:p>
    <w:p w14:paraId="57B64CBF" w14:textId="5EC395E3" w:rsidR="00681A53" w:rsidRPr="00174E4A" w:rsidRDefault="00760E86" w:rsidP="00174E4A">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Asher J in </w:t>
      </w:r>
      <w:r>
        <w:rPr>
          <w:rFonts w:ascii="Calibri" w:eastAsia="Times" w:hAnsi="Calibri" w:cs="Calibri"/>
          <w:bCs/>
          <w:i/>
          <w:iCs/>
          <w:sz w:val="24"/>
          <w:szCs w:val="20"/>
          <w:lang w:val="en-AU"/>
        </w:rPr>
        <w:t xml:space="preserve">Art Deco Society </w:t>
      </w:r>
      <w:r w:rsidR="007251E0">
        <w:rPr>
          <w:rFonts w:ascii="Calibri" w:eastAsia="Times" w:hAnsi="Calibri" w:cs="Calibri"/>
          <w:bCs/>
          <w:sz w:val="24"/>
          <w:szCs w:val="20"/>
          <w:lang w:val="en-AU"/>
        </w:rPr>
        <w:t>stated:</w:t>
      </w:r>
    </w:p>
    <w:p w14:paraId="29EAED8C" w14:textId="2770AB8B" w:rsidR="007251E0" w:rsidRDefault="00681A53" w:rsidP="00681A53">
      <w:pPr>
        <w:tabs>
          <w:tab w:val="left" w:pos="567"/>
        </w:tabs>
        <w:spacing w:after="0" w:line="360" w:lineRule="auto"/>
        <w:ind w:left="1440"/>
        <w:jc w:val="both"/>
        <w:rPr>
          <w:rFonts w:ascii="Calibri" w:eastAsia="Times" w:hAnsi="Calibri" w:cs="Calibri"/>
          <w:bCs/>
          <w:lang w:val="en-AU"/>
        </w:rPr>
      </w:pPr>
      <w:r>
        <w:rPr>
          <w:rFonts w:ascii="Calibri" w:eastAsia="Times" w:hAnsi="Calibri" w:cs="Calibri"/>
          <w:bCs/>
          <w:lang w:val="en-AU"/>
        </w:rPr>
        <w:t>“</w:t>
      </w:r>
      <w:r w:rsidR="007251E0">
        <w:rPr>
          <w:rFonts w:ascii="Calibri" w:eastAsia="Times" w:hAnsi="Calibri" w:cs="Calibri"/>
          <w:bCs/>
          <w:lang w:val="en-AU"/>
        </w:rPr>
        <w:t>[50]</w:t>
      </w:r>
      <w:r w:rsidR="005C5D03">
        <w:rPr>
          <w:rFonts w:ascii="Calibri" w:eastAsia="Times" w:hAnsi="Calibri" w:cs="Calibri"/>
          <w:bCs/>
          <w:lang w:val="en-AU"/>
        </w:rPr>
        <w:t xml:space="preserve"> </w:t>
      </w:r>
      <w:r w:rsidR="007251E0">
        <w:rPr>
          <w:rFonts w:ascii="Calibri" w:eastAsia="Times" w:hAnsi="Calibri" w:cs="Calibri"/>
          <w:bCs/>
          <w:lang w:val="en-AU"/>
        </w:rPr>
        <w:t xml:space="preserve">The task of the Courts in interpreting legislation which is alleged to have a retrospective effect has not changed as a consequence of the enactment of s 7 of the Interpretation Act 1999. If in the end </w:t>
      </w:r>
      <w:r w:rsidR="005E1D18">
        <w:rPr>
          <w:rFonts w:ascii="Calibri" w:eastAsia="Times" w:hAnsi="Calibri" w:cs="Calibri"/>
          <w:bCs/>
          <w:lang w:val="en-AU"/>
        </w:rPr>
        <w:t xml:space="preserve">if </w:t>
      </w:r>
      <w:r w:rsidR="007251E0">
        <w:rPr>
          <w:rFonts w:ascii="Calibri" w:eastAsia="Times" w:hAnsi="Calibri" w:cs="Calibri"/>
          <w:bCs/>
          <w:lang w:val="en-AU"/>
        </w:rPr>
        <w:t xml:space="preserve">it is clear that Parliament’s intention is that the legislative provision is to have a retrospective effect, then the Courts will find that that is the effect of the Act, even if </w:t>
      </w:r>
      <w:r w:rsidR="007761F3">
        <w:rPr>
          <w:rFonts w:ascii="Calibri" w:eastAsia="Times" w:hAnsi="Calibri" w:cs="Calibri"/>
          <w:bCs/>
          <w:lang w:val="en-AU"/>
        </w:rPr>
        <w:t xml:space="preserve">there are no express words stating that the provision has retrospective effect: </w:t>
      </w:r>
      <w:r w:rsidR="007761F3" w:rsidRPr="005E1D18">
        <w:rPr>
          <w:rFonts w:ascii="Calibri" w:eastAsia="Times" w:hAnsi="Calibri" w:cs="Calibri"/>
          <w:bCs/>
          <w:i/>
          <w:iCs/>
          <w:lang w:val="en-AU"/>
        </w:rPr>
        <w:t>W v W</w:t>
      </w:r>
      <w:r w:rsidR="007761F3" w:rsidRPr="00681A53">
        <w:rPr>
          <w:rFonts w:ascii="Calibri" w:eastAsia="Times" w:hAnsi="Calibri" w:cs="Calibri"/>
          <w:bCs/>
          <w:lang w:val="en-AU"/>
        </w:rPr>
        <w:t xml:space="preserve"> </w:t>
      </w:r>
      <w:r w:rsidR="007761F3">
        <w:rPr>
          <w:rFonts w:ascii="Calibri" w:eastAsia="Times" w:hAnsi="Calibri" w:cs="Calibri"/>
          <w:bCs/>
          <w:lang w:val="en-AU"/>
        </w:rPr>
        <w:t>(2000) 14 PRNZ 157, 161-162 (CA).</w:t>
      </w:r>
    </w:p>
    <w:p w14:paraId="0C2ADAB2" w14:textId="08ECEA44" w:rsidR="0064573F" w:rsidRDefault="0064573F" w:rsidP="00681A53">
      <w:pPr>
        <w:tabs>
          <w:tab w:val="left" w:pos="567"/>
        </w:tabs>
        <w:spacing w:after="0" w:line="360" w:lineRule="auto"/>
        <w:ind w:left="1440"/>
        <w:jc w:val="both"/>
        <w:rPr>
          <w:rFonts w:ascii="Calibri" w:eastAsia="Times" w:hAnsi="Calibri" w:cs="Calibri"/>
          <w:bCs/>
          <w:lang w:val="en-AU"/>
        </w:rPr>
      </w:pPr>
      <w:r>
        <w:rPr>
          <w:rFonts w:ascii="Calibri" w:eastAsia="Times" w:hAnsi="Calibri" w:cs="Calibri"/>
          <w:bCs/>
          <w:lang w:val="en-AU"/>
        </w:rPr>
        <w:t xml:space="preserve">[51] Ultimately the issue is one of construction, in which the plain words in the text of the section, the purpose and scheme of the legislation, and the overall fairness of giving the provision retrospective effect are relevant. The Court of Appeal has stated in </w:t>
      </w:r>
      <w:proofErr w:type="spellStart"/>
      <w:r w:rsidRPr="004A3D64">
        <w:rPr>
          <w:rFonts w:ascii="Calibri" w:eastAsia="Times" w:hAnsi="Calibri" w:cs="Calibri"/>
          <w:bCs/>
          <w:i/>
          <w:iCs/>
          <w:lang w:val="en-AU"/>
        </w:rPr>
        <w:t>Prouse</w:t>
      </w:r>
      <w:proofErr w:type="spellEnd"/>
      <w:r w:rsidRPr="004A3D64">
        <w:rPr>
          <w:rFonts w:ascii="Calibri" w:eastAsia="Times" w:hAnsi="Calibri" w:cs="Calibri"/>
          <w:bCs/>
          <w:i/>
          <w:iCs/>
          <w:lang w:val="en-AU"/>
        </w:rPr>
        <w:t xml:space="preserve"> v Commissioner of Inland Revenue</w:t>
      </w:r>
      <w:r w:rsidRPr="00681A53">
        <w:rPr>
          <w:rFonts w:ascii="Calibri" w:eastAsia="Times" w:hAnsi="Calibri" w:cs="Calibri"/>
          <w:bCs/>
          <w:lang w:val="en-AU"/>
        </w:rPr>
        <w:t xml:space="preserve"> </w:t>
      </w:r>
      <w:r>
        <w:rPr>
          <w:rFonts w:ascii="Calibri" w:eastAsia="Times" w:hAnsi="Calibri" w:cs="Calibri"/>
          <w:bCs/>
          <w:lang w:val="en-AU"/>
        </w:rPr>
        <w:t>(1994) 16 NZTC 11,249 at 11,252:</w:t>
      </w:r>
    </w:p>
    <w:p w14:paraId="778B5E6C" w14:textId="33ED5138" w:rsidR="001A7C2F" w:rsidRDefault="0064573F" w:rsidP="00444BCD">
      <w:pPr>
        <w:tabs>
          <w:tab w:val="left" w:pos="567"/>
        </w:tabs>
        <w:spacing w:after="0" w:line="360" w:lineRule="auto"/>
        <w:ind w:left="2160"/>
        <w:jc w:val="both"/>
        <w:rPr>
          <w:rFonts w:ascii="Calibri" w:eastAsia="Times" w:hAnsi="Calibri" w:cs="Calibri"/>
          <w:bCs/>
          <w:sz w:val="20"/>
          <w:szCs w:val="20"/>
          <w:lang w:val="en-AU"/>
        </w:rPr>
      </w:pPr>
      <w:r w:rsidRPr="00681A53">
        <w:rPr>
          <w:rFonts w:ascii="Calibri" w:eastAsia="Times" w:hAnsi="Calibri" w:cs="Calibri"/>
          <w:bCs/>
          <w:sz w:val="20"/>
          <w:szCs w:val="20"/>
          <w:lang w:val="en-AU"/>
        </w:rPr>
        <w:t xml:space="preserve">The ultimate question is one of the construction of the statute. It involves weighing retrospectivity concerns in determining the intention of Parliament as reflected in the scheme and language of the </w:t>
      </w:r>
      <w:r w:rsidR="00AA3074" w:rsidRPr="00681A53">
        <w:rPr>
          <w:rFonts w:ascii="Calibri" w:eastAsia="Times" w:hAnsi="Calibri" w:cs="Calibri"/>
          <w:bCs/>
          <w:sz w:val="20"/>
          <w:szCs w:val="20"/>
          <w:lang w:val="en-AU"/>
        </w:rPr>
        <w:t>legislation.</w:t>
      </w:r>
      <w:r w:rsidR="00681A53">
        <w:rPr>
          <w:rFonts w:ascii="Calibri" w:eastAsia="Times" w:hAnsi="Calibri" w:cs="Calibri"/>
          <w:bCs/>
          <w:sz w:val="20"/>
          <w:szCs w:val="20"/>
          <w:lang w:val="en-AU"/>
        </w:rPr>
        <w:t>”</w:t>
      </w:r>
    </w:p>
    <w:p w14:paraId="03E94D58" w14:textId="0768FD0C" w:rsidR="00A14357" w:rsidRPr="007A64D6" w:rsidRDefault="00B438E9" w:rsidP="007A64D6">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As to the common law presumption against retrospectivity, in </w:t>
      </w:r>
      <w:r>
        <w:rPr>
          <w:rFonts w:ascii="Calibri" w:eastAsia="Times" w:hAnsi="Calibri" w:cs="Calibri"/>
          <w:bCs/>
          <w:i/>
          <w:iCs/>
          <w:sz w:val="24"/>
          <w:szCs w:val="24"/>
          <w:lang w:val="en-AU"/>
        </w:rPr>
        <w:t xml:space="preserve">Maxwell v Murphy </w:t>
      </w:r>
      <w:r>
        <w:rPr>
          <w:rFonts w:ascii="Calibri" w:eastAsia="Times" w:hAnsi="Calibri" w:cs="Calibri"/>
          <w:bCs/>
          <w:sz w:val="24"/>
          <w:szCs w:val="24"/>
          <w:lang w:val="en-AU"/>
        </w:rPr>
        <w:t xml:space="preserve">(1957) 96 CLR 261, 267 His Honour Dixon CJ stated that unless the contrary intention appeared with reasonable certainty a statute changing the law should not be understood as applying to facts or events that had already occurred in such a way as to impose </w:t>
      </w:r>
      <w:r>
        <w:rPr>
          <w:rFonts w:ascii="Calibri" w:eastAsia="Times" w:hAnsi="Calibri" w:cs="Calibri"/>
          <w:bCs/>
          <w:sz w:val="24"/>
          <w:szCs w:val="24"/>
          <w:lang w:val="en-AU"/>
        </w:rPr>
        <w:lastRenderedPageBreak/>
        <w:t xml:space="preserve">liabilities which did not exist at the time. Procedural changes were recognised as not coming within this approach. This was partly the reason why in </w:t>
      </w:r>
      <w:r w:rsidR="004108D5">
        <w:rPr>
          <w:rFonts w:ascii="Calibri" w:eastAsia="Times" w:hAnsi="Calibri" w:cs="Calibri"/>
          <w:bCs/>
          <w:i/>
          <w:iCs/>
          <w:sz w:val="24"/>
          <w:szCs w:val="24"/>
          <w:lang w:val="en-AU"/>
        </w:rPr>
        <w:t xml:space="preserve">Dental Council of New Zealand v </w:t>
      </w:r>
      <w:r w:rsidRPr="00FD51B4">
        <w:rPr>
          <w:rFonts w:ascii="Calibri" w:eastAsia="Times" w:hAnsi="Calibri" w:cs="Calibri"/>
          <w:bCs/>
          <w:i/>
          <w:iCs/>
          <w:sz w:val="24"/>
          <w:szCs w:val="24"/>
          <w:lang w:val="en-AU"/>
        </w:rPr>
        <w:t>Be</w:t>
      </w:r>
      <w:r w:rsidR="00FD51B4" w:rsidRPr="00FD51B4">
        <w:rPr>
          <w:rFonts w:ascii="Calibri" w:eastAsia="Times" w:hAnsi="Calibri" w:cs="Calibri"/>
          <w:bCs/>
          <w:i/>
          <w:iCs/>
          <w:sz w:val="24"/>
          <w:szCs w:val="24"/>
          <w:lang w:val="en-AU"/>
        </w:rPr>
        <w:t>ll</w:t>
      </w:r>
      <w:r w:rsidR="00FD51B4">
        <w:rPr>
          <w:rStyle w:val="FootnoteReference"/>
          <w:rFonts w:ascii="Calibri" w:eastAsia="Times" w:hAnsi="Calibri" w:cs="Calibri"/>
          <w:bCs/>
          <w:sz w:val="24"/>
          <w:szCs w:val="24"/>
          <w:lang w:val="en-AU"/>
        </w:rPr>
        <w:footnoteReference w:id="15"/>
      </w:r>
      <w:r>
        <w:rPr>
          <w:rFonts w:ascii="Calibri" w:eastAsia="Times" w:hAnsi="Calibri" w:cs="Calibri"/>
          <w:bCs/>
          <w:i/>
          <w:iCs/>
          <w:sz w:val="24"/>
          <w:szCs w:val="24"/>
          <w:lang w:val="en-AU"/>
        </w:rPr>
        <w:t xml:space="preserve"> </w:t>
      </w:r>
      <w:r>
        <w:rPr>
          <w:rFonts w:ascii="Calibri" w:eastAsia="Times" w:hAnsi="Calibri" w:cs="Calibri"/>
          <w:bCs/>
          <w:sz w:val="24"/>
          <w:szCs w:val="24"/>
          <w:lang w:val="en-AU"/>
        </w:rPr>
        <w:t xml:space="preserve">Tipping J observed that it was perfectly clear that in so far as the new Dental Act changed the procedure for the investigation of complaints against dentists the new procedure applied to acts and conduct occurring before it came into force. </w:t>
      </w:r>
      <w:r w:rsidR="0070572A">
        <w:rPr>
          <w:rFonts w:ascii="Calibri" w:eastAsia="Times" w:hAnsi="Calibri" w:cs="Calibri"/>
          <w:bCs/>
          <w:sz w:val="24"/>
          <w:szCs w:val="24"/>
          <w:lang w:val="en-AU"/>
        </w:rPr>
        <w:t>That is, a registered dentist who was subject to the regulatory requirements of the governing statute could not avoid the consequences of unprofessional actions by virtue of procedural changes, as the overarching requirements attached to registration had not changed. A</w:t>
      </w:r>
      <w:r>
        <w:rPr>
          <w:rFonts w:ascii="Calibri" w:eastAsia="Times" w:hAnsi="Calibri" w:cs="Calibri"/>
          <w:bCs/>
          <w:sz w:val="24"/>
          <w:szCs w:val="24"/>
          <w:lang w:val="en-AU"/>
        </w:rPr>
        <w:t>s Tipping J noted</w:t>
      </w:r>
      <w:r w:rsidR="00A36FCC">
        <w:rPr>
          <w:rFonts w:ascii="Calibri" w:eastAsia="Times" w:hAnsi="Calibri" w:cs="Calibri"/>
          <w:bCs/>
          <w:sz w:val="24"/>
          <w:szCs w:val="24"/>
          <w:lang w:val="en-AU"/>
        </w:rPr>
        <w:t xml:space="preserve"> in respect of substantive changes to the law regulating registered dentists</w:t>
      </w:r>
      <w:r>
        <w:rPr>
          <w:rFonts w:ascii="Calibri" w:eastAsia="Times" w:hAnsi="Calibri" w:cs="Calibri"/>
          <w:bCs/>
          <w:sz w:val="24"/>
          <w:szCs w:val="24"/>
          <w:lang w:val="en-AU"/>
        </w:rPr>
        <w:t>:</w:t>
      </w:r>
    </w:p>
    <w:p w14:paraId="365FBBD5" w14:textId="387B9D73" w:rsidR="00A14357" w:rsidRPr="007A64D6" w:rsidRDefault="00681A53" w:rsidP="007A64D6">
      <w:pPr>
        <w:tabs>
          <w:tab w:val="left" w:pos="567"/>
        </w:tabs>
        <w:spacing w:after="0" w:line="360" w:lineRule="auto"/>
        <w:ind w:left="1440"/>
        <w:jc w:val="both"/>
        <w:rPr>
          <w:rFonts w:ascii="Calibri" w:eastAsia="Times" w:hAnsi="Calibri" w:cs="Calibri"/>
          <w:bCs/>
          <w:lang w:val="en-AU"/>
        </w:rPr>
      </w:pPr>
      <w:r>
        <w:rPr>
          <w:rFonts w:ascii="Calibri" w:eastAsia="Times" w:hAnsi="Calibri" w:cs="Calibri"/>
          <w:bCs/>
          <w:lang w:val="en-AU"/>
        </w:rPr>
        <w:t>“</w:t>
      </w:r>
      <w:r w:rsidR="00B438E9" w:rsidRPr="00681A53">
        <w:rPr>
          <w:rFonts w:ascii="Calibri" w:eastAsia="Times" w:hAnsi="Calibri" w:cs="Calibri"/>
          <w:bCs/>
          <w:lang w:val="en-AU"/>
        </w:rPr>
        <w:t>Closer examination is necessary as to whether or not the Act was intended to have retrospective effect in a substantive rather than a procedural sense but it should be noted that the trigger for the operation of the powers and procedures of the new Act is the making of a complaint and, as earlier observed, a decision that the Act had no substantive retrospective effect might mean that some complaints could be investigated and some could not, or that the earlier procedures pro tanto continued.</w:t>
      </w:r>
      <w:r w:rsidR="003F41E1">
        <w:rPr>
          <w:rFonts w:ascii="Calibri" w:eastAsia="Times" w:hAnsi="Calibri" w:cs="Calibri"/>
          <w:bCs/>
          <w:lang w:val="en-AU"/>
        </w:rPr>
        <w:t>”</w:t>
      </w:r>
    </w:p>
    <w:p w14:paraId="3B8C4C83" w14:textId="0C41DEF1" w:rsidR="00BB3E49" w:rsidRPr="00621942" w:rsidRDefault="001B2566" w:rsidP="00621942">
      <w:pPr>
        <w:numPr>
          <w:ilvl w:val="0"/>
          <w:numId w:val="1"/>
        </w:numPr>
        <w:tabs>
          <w:tab w:val="left" w:pos="567"/>
        </w:tabs>
        <w:spacing w:after="0" w:line="360" w:lineRule="auto"/>
        <w:jc w:val="both"/>
        <w:rPr>
          <w:rFonts w:ascii="Calibri" w:eastAsia="Times" w:hAnsi="Calibri" w:cs="Calibri"/>
          <w:bCs/>
          <w:sz w:val="24"/>
          <w:szCs w:val="24"/>
          <w:lang w:val="en-AU"/>
        </w:rPr>
      </w:pPr>
      <w:r>
        <w:rPr>
          <w:rFonts w:ascii="Calibri" w:eastAsia="Times" w:hAnsi="Calibri" w:cs="Calibri"/>
          <w:bCs/>
          <w:sz w:val="24"/>
          <w:szCs w:val="24"/>
          <w:lang w:val="en-AU"/>
        </w:rPr>
        <w:t xml:space="preserve">This is not a situation involving change from one mandatory regime to another mandatory regime or which gives rise to any concern about the </w:t>
      </w:r>
      <w:r w:rsidR="00712573">
        <w:rPr>
          <w:rFonts w:ascii="Calibri" w:eastAsia="Times" w:hAnsi="Calibri" w:cs="Calibri"/>
          <w:bCs/>
          <w:sz w:val="24"/>
          <w:szCs w:val="24"/>
          <w:lang w:val="en-AU"/>
        </w:rPr>
        <w:t>need for parallel</w:t>
      </w:r>
      <w:r>
        <w:rPr>
          <w:rFonts w:ascii="Calibri" w:eastAsia="Times" w:hAnsi="Calibri" w:cs="Calibri"/>
          <w:bCs/>
          <w:sz w:val="24"/>
          <w:szCs w:val="24"/>
          <w:lang w:val="en-AU"/>
        </w:rPr>
        <w:t xml:space="preserve"> disciplinary procedures as was raised in </w:t>
      </w:r>
      <w:r>
        <w:rPr>
          <w:rFonts w:ascii="Calibri" w:eastAsia="Times" w:hAnsi="Calibri" w:cs="Calibri"/>
          <w:bCs/>
          <w:i/>
          <w:iCs/>
          <w:sz w:val="24"/>
          <w:szCs w:val="24"/>
          <w:lang w:val="en-AU"/>
        </w:rPr>
        <w:t>Dental Council of NZ v Bell</w:t>
      </w:r>
      <w:r>
        <w:rPr>
          <w:rStyle w:val="FootnoteReference"/>
          <w:rFonts w:ascii="Calibri" w:eastAsia="Times" w:hAnsi="Calibri" w:cs="Calibri"/>
          <w:bCs/>
          <w:i/>
          <w:iCs/>
          <w:sz w:val="24"/>
          <w:szCs w:val="24"/>
          <w:lang w:val="en-AU"/>
        </w:rPr>
        <w:footnoteReference w:id="16"/>
      </w:r>
      <w:r>
        <w:rPr>
          <w:rFonts w:ascii="Calibri" w:eastAsia="Times" w:hAnsi="Calibri" w:cs="Calibri"/>
          <w:bCs/>
          <w:sz w:val="24"/>
          <w:szCs w:val="24"/>
          <w:lang w:val="en-AU"/>
        </w:rPr>
        <w:t>. That case concerned whether complaints made under the Dental Act 1988 applied to conduct pre-dating the coming into force of that Act on 1 January 1989. Before t</w:t>
      </w:r>
      <w:r w:rsidR="00A87F8A">
        <w:rPr>
          <w:rFonts w:ascii="Calibri" w:eastAsia="Times" w:hAnsi="Calibri" w:cs="Calibri"/>
          <w:bCs/>
          <w:sz w:val="24"/>
          <w:szCs w:val="24"/>
          <w:lang w:val="en-AU"/>
        </w:rPr>
        <w:t xml:space="preserve">hat date, </w:t>
      </w:r>
      <w:r>
        <w:rPr>
          <w:rFonts w:ascii="Calibri" w:eastAsia="Times" w:hAnsi="Calibri" w:cs="Calibri"/>
          <w:bCs/>
          <w:sz w:val="24"/>
          <w:szCs w:val="24"/>
          <w:lang w:val="en-AU"/>
        </w:rPr>
        <w:t>the dental profession was governed by the Dental Act 1963, the whole of which was repealed by section 86(1) of the new Act. The dentist (Dr Bell) contended that the complaints against him, which were made after the new Act came into force but were about his conduct pre-dating the new Act, should (if anything) be dealt with under the provisions of the old Act. The High Court made an order declaring that the provisions relating to complaints contained in the new Act did apply to complaints relating to conduct pre-dating the coming into force of that (new) Act. Reaching the view that Parliament must have intended the new Act to have retrospective effect, not only procedurally but also in substantive terms, the Court reasoned at page 447 that:</w:t>
      </w:r>
    </w:p>
    <w:p w14:paraId="524CFEAD" w14:textId="5560FD2B" w:rsidR="00BB3E49" w:rsidRPr="007807BC" w:rsidRDefault="001B2566" w:rsidP="007807BC">
      <w:pPr>
        <w:tabs>
          <w:tab w:val="left" w:pos="567"/>
        </w:tabs>
        <w:spacing w:after="0" w:line="360" w:lineRule="auto"/>
        <w:ind w:left="1440"/>
        <w:jc w:val="both"/>
        <w:rPr>
          <w:rFonts w:ascii="Calibri" w:eastAsia="Times" w:hAnsi="Calibri" w:cs="Calibri"/>
          <w:bCs/>
          <w:lang w:val="en-AU"/>
        </w:rPr>
      </w:pPr>
      <w:r w:rsidRPr="00681A53">
        <w:rPr>
          <w:rFonts w:ascii="Calibri" w:eastAsia="Times" w:hAnsi="Calibri" w:cs="Calibri"/>
          <w:bCs/>
          <w:lang w:val="en-AU"/>
        </w:rPr>
        <w:lastRenderedPageBreak/>
        <w:t>“the plain and ordinary meaning of the words used signal clearly, at least by implication, an intent that all conduct should be covered by the new Act. Parliament could hardly have intended the old procedures to apply to conduct occurring before 1 January 1989 with the procedural and logistical difficulties that such a conclusion would involve: with the risk of two systems running in parallel and the real difficulties that would arise in a case where relevant conduct straddled the change-over date.”</w:t>
      </w:r>
    </w:p>
    <w:p w14:paraId="01E24E61" w14:textId="77777777" w:rsidR="001B2566" w:rsidRDefault="001B2566" w:rsidP="001B2566">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The High Court observed that the absence of any transitional provisions in the new Dental Act bearing on the question must signal the fact that Parliament meant the new provisions to take over substantively as well as procedurally and to relate to all conduct of which complaints were made after the passing of the new Act, irrespective of whether the conduct pre-dated the new Act.</w:t>
      </w:r>
    </w:p>
    <w:p w14:paraId="77ED96F0" w14:textId="591828EE" w:rsidR="0034389B" w:rsidRDefault="00A87F8A" w:rsidP="00FE1BA1">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In contrast to the present situation that case was not required to determine </w:t>
      </w:r>
      <w:r w:rsidR="001B2566">
        <w:rPr>
          <w:rFonts w:ascii="Calibri" w:eastAsia="Times" w:hAnsi="Calibri" w:cs="Calibri"/>
          <w:bCs/>
          <w:sz w:val="24"/>
          <w:szCs w:val="24"/>
          <w:lang w:val="en-AU"/>
        </w:rPr>
        <w:t xml:space="preserve">whether the disciplinary regime in the new Act could be retrospectively applied to a registered dentist for their pre-registration conduct. At all material times, including when the conduct charged was alleged to have occurred, Dr Bell was a registered dentist. </w:t>
      </w:r>
      <w:r w:rsidR="00414AB4">
        <w:rPr>
          <w:rFonts w:ascii="Calibri" w:eastAsia="Times" w:hAnsi="Calibri" w:cs="Calibri"/>
          <w:bCs/>
          <w:sz w:val="24"/>
          <w:szCs w:val="24"/>
          <w:lang w:val="en-AU"/>
        </w:rPr>
        <w:t>In this case however i</w:t>
      </w:r>
      <w:r w:rsidR="00A85B98">
        <w:rPr>
          <w:rFonts w:ascii="Calibri" w:eastAsia="Times" w:hAnsi="Calibri" w:cs="Calibri"/>
          <w:bCs/>
          <w:sz w:val="24"/>
          <w:szCs w:val="24"/>
          <w:lang w:val="en-AU"/>
        </w:rPr>
        <w:t>t must follow</w:t>
      </w:r>
      <w:r w:rsidR="00720326">
        <w:rPr>
          <w:rFonts w:ascii="Calibri" w:eastAsia="Times" w:hAnsi="Calibri" w:cs="Calibri"/>
          <w:bCs/>
          <w:sz w:val="24"/>
          <w:szCs w:val="24"/>
          <w:lang w:val="en-AU"/>
        </w:rPr>
        <w:t xml:space="preserve"> (as was accepted by Counsel for the PCC)</w:t>
      </w:r>
      <w:r w:rsidR="00A85B98">
        <w:rPr>
          <w:rFonts w:ascii="Calibri" w:eastAsia="Times" w:hAnsi="Calibri" w:cs="Calibri"/>
          <w:bCs/>
          <w:sz w:val="24"/>
          <w:szCs w:val="24"/>
          <w:lang w:val="en-AU"/>
        </w:rPr>
        <w:t xml:space="preserve"> that at the time of the alleged offending the practitioner </w:t>
      </w:r>
      <w:r w:rsidR="00EB2128">
        <w:rPr>
          <w:rFonts w:ascii="Calibri" w:eastAsia="Times" w:hAnsi="Calibri" w:cs="Calibri"/>
          <w:bCs/>
          <w:sz w:val="24"/>
          <w:szCs w:val="24"/>
          <w:lang w:val="en-AU"/>
        </w:rPr>
        <w:t>was not committing a professional disciplinary offence</w:t>
      </w:r>
      <w:r w:rsidR="0021071C">
        <w:rPr>
          <w:rFonts w:ascii="Calibri" w:eastAsia="Times" w:hAnsi="Calibri" w:cs="Calibri"/>
          <w:bCs/>
          <w:sz w:val="24"/>
          <w:szCs w:val="24"/>
          <w:lang w:val="en-AU"/>
        </w:rPr>
        <w:t xml:space="preserve"> under the SWR Act</w:t>
      </w:r>
      <w:r w:rsidR="00EB2128">
        <w:rPr>
          <w:rFonts w:ascii="Calibri" w:eastAsia="Times" w:hAnsi="Calibri" w:cs="Calibri"/>
          <w:bCs/>
          <w:sz w:val="24"/>
          <w:szCs w:val="24"/>
          <w:lang w:val="en-AU"/>
        </w:rPr>
        <w:t xml:space="preserve"> because she was not </w:t>
      </w:r>
      <w:r w:rsidR="0021071C">
        <w:rPr>
          <w:rFonts w:ascii="Calibri" w:eastAsia="Times" w:hAnsi="Calibri" w:cs="Calibri"/>
          <w:bCs/>
          <w:sz w:val="24"/>
          <w:szCs w:val="24"/>
          <w:lang w:val="en-AU"/>
        </w:rPr>
        <w:t xml:space="preserve">a </w:t>
      </w:r>
      <w:r w:rsidR="00EB2128">
        <w:rPr>
          <w:rFonts w:ascii="Calibri" w:eastAsia="Times" w:hAnsi="Calibri" w:cs="Calibri"/>
          <w:bCs/>
          <w:sz w:val="24"/>
          <w:szCs w:val="24"/>
          <w:lang w:val="en-AU"/>
        </w:rPr>
        <w:t>registered social</w:t>
      </w:r>
      <w:r w:rsidR="0021071C">
        <w:rPr>
          <w:rFonts w:ascii="Calibri" w:eastAsia="Times" w:hAnsi="Calibri" w:cs="Calibri"/>
          <w:bCs/>
          <w:sz w:val="24"/>
          <w:szCs w:val="24"/>
          <w:lang w:val="en-AU"/>
        </w:rPr>
        <w:t xml:space="preserve"> worker</w:t>
      </w:r>
      <w:r w:rsidR="00EB2128">
        <w:rPr>
          <w:rFonts w:ascii="Calibri" w:eastAsia="Times" w:hAnsi="Calibri" w:cs="Calibri"/>
          <w:bCs/>
          <w:sz w:val="24"/>
          <w:szCs w:val="24"/>
          <w:lang w:val="en-AU"/>
        </w:rPr>
        <w:t>.</w:t>
      </w:r>
      <w:r w:rsidR="0021071C">
        <w:rPr>
          <w:rFonts w:ascii="Calibri" w:eastAsia="Times" w:hAnsi="Calibri" w:cs="Calibri"/>
          <w:bCs/>
          <w:sz w:val="24"/>
          <w:szCs w:val="24"/>
          <w:lang w:val="en-AU"/>
        </w:rPr>
        <w:t xml:space="preserve"> </w:t>
      </w:r>
      <w:r w:rsidR="00446348">
        <w:rPr>
          <w:rFonts w:ascii="Calibri" w:eastAsia="Times" w:hAnsi="Calibri" w:cs="Calibri"/>
          <w:bCs/>
          <w:sz w:val="24"/>
          <w:szCs w:val="24"/>
          <w:lang w:val="en-AU"/>
        </w:rPr>
        <w:t xml:space="preserve"> </w:t>
      </w:r>
      <w:r w:rsidR="00D6196A">
        <w:rPr>
          <w:rFonts w:ascii="Calibri" w:eastAsia="Times" w:hAnsi="Calibri" w:cs="Calibri"/>
          <w:bCs/>
          <w:sz w:val="24"/>
          <w:szCs w:val="24"/>
          <w:lang w:val="en-AU"/>
        </w:rPr>
        <w:t>S</w:t>
      </w:r>
      <w:r w:rsidR="00807FAD">
        <w:rPr>
          <w:rFonts w:ascii="Calibri" w:eastAsia="Times" w:hAnsi="Calibri" w:cs="Calibri"/>
          <w:bCs/>
          <w:sz w:val="24"/>
          <w:szCs w:val="24"/>
          <w:lang w:val="en-AU"/>
        </w:rPr>
        <w:t>he was not a member of the registered social work profession</w:t>
      </w:r>
      <w:r w:rsidR="00D6196A">
        <w:rPr>
          <w:rFonts w:ascii="Calibri" w:eastAsia="Times" w:hAnsi="Calibri" w:cs="Calibri"/>
          <w:bCs/>
          <w:sz w:val="24"/>
          <w:szCs w:val="24"/>
          <w:lang w:val="en-AU"/>
        </w:rPr>
        <w:t xml:space="preserve"> and as such she was not regulated by the Act</w:t>
      </w:r>
      <w:r w:rsidR="00807FAD">
        <w:rPr>
          <w:rFonts w:ascii="Calibri" w:eastAsia="Times" w:hAnsi="Calibri" w:cs="Calibri"/>
          <w:bCs/>
          <w:sz w:val="24"/>
          <w:szCs w:val="24"/>
          <w:lang w:val="en-AU"/>
        </w:rPr>
        <w:t>.</w:t>
      </w:r>
    </w:p>
    <w:p w14:paraId="79533D45" w14:textId="77777777" w:rsidR="008B6183" w:rsidRDefault="008B6183" w:rsidP="00706DD6">
      <w:pPr>
        <w:tabs>
          <w:tab w:val="left" w:pos="567"/>
        </w:tabs>
        <w:spacing w:after="0" w:line="360" w:lineRule="auto"/>
        <w:jc w:val="both"/>
        <w:rPr>
          <w:rFonts w:ascii="Calibri" w:eastAsia="Times" w:hAnsi="Calibri" w:cs="Calibri"/>
          <w:bCs/>
          <w:i/>
          <w:iCs/>
          <w:sz w:val="24"/>
          <w:szCs w:val="24"/>
          <w:lang w:val="en-AU"/>
        </w:rPr>
      </w:pPr>
    </w:p>
    <w:p w14:paraId="0F808DF5" w14:textId="49B329B1" w:rsidR="00706DD6" w:rsidRPr="00706DD6" w:rsidRDefault="00706DD6" w:rsidP="00706DD6">
      <w:pPr>
        <w:tabs>
          <w:tab w:val="left" w:pos="567"/>
        </w:tabs>
        <w:spacing w:after="0" w:line="360" w:lineRule="auto"/>
        <w:jc w:val="both"/>
        <w:rPr>
          <w:rFonts w:ascii="Calibri" w:eastAsia="Times" w:hAnsi="Calibri" w:cs="Calibri"/>
          <w:bCs/>
          <w:i/>
          <w:iCs/>
          <w:sz w:val="24"/>
          <w:szCs w:val="24"/>
          <w:lang w:val="en-AU"/>
        </w:rPr>
      </w:pPr>
      <w:r>
        <w:rPr>
          <w:rFonts w:ascii="Calibri" w:eastAsia="Times" w:hAnsi="Calibri" w:cs="Calibri"/>
          <w:bCs/>
          <w:i/>
          <w:iCs/>
          <w:sz w:val="24"/>
          <w:szCs w:val="24"/>
          <w:lang w:val="en-AU"/>
        </w:rPr>
        <w:t>Approach</w:t>
      </w:r>
    </w:p>
    <w:p w14:paraId="0BE44A92" w14:textId="1D6465D0" w:rsidR="00706DD6" w:rsidRDefault="00CC52B7" w:rsidP="00CC52B7">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Havin</w:t>
      </w:r>
      <w:r w:rsidR="00706DD6">
        <w:rPr>
          <w:rFonts w:ascii="Calibri" w:eastAsia="Times" w:hAnsi="Calibri" w:cs="Calibri"/>
          <w:bCs/>
          <w:sz w:val="24"/>
          <w:szCs w:val="24"/>
          <w:lang w:val="en-AU"/>
        </w:rPr>
        <w:t>g</w:t>
      </w:r>
      <w:r>
        <w:rPr>
          <w:rFonts w:ascii="Calibri" w:eastAsia="Times" w:hAnsi="Calibri" w:cs="Calibri"/>
          <w:bCs/>
          <w:sz w:val="24"/>
          <w:szCs w:val="24"/>
          <w:lang w:val="en-AU"/>
        </w:rPr>
        <w:t xml:space="preserve"> regard to those matters, the proper starting point for the Tribunal </w:t>
      </w:r>
      <w:r w:rsidR="00414AB4">
        <w:rPr>
          <w:rFonts w:ascii="Calibri" w:eastAsia="Times" w:hAnsi="Calibri" w:cs="Calibri"/>
          <w:bCs/>
          <w:sz w:val="24"/>
          <w:szCs w:val="24"/>
          <w:lang w:val="en-AU"/>
        </w:rPr>
        <w:t>is</w:t>
      </w:r>
      <w:r>
        <w:rPr>
          <w:rFonts w:ascii="Calibri" w:eastAsia="Times" w:hAnsi="Calibri" w:cs="Calibri"/>
          <w:bCs/>
          <w:sz w:val="24"/>
          <w:szCs w:val="24"/>
          <w:lang w:val="en-AU"/>
        </w:rPr>
        <w:t xml:space="preserve"> section 5 of the Interpretation Act 1999</w:t>
      </w:r>
      <w:r w:rsidR="00414AB4">
        <w:rPr>
          <w:rFonts w:ascii="Calibri" w:eastAsia="Times" w:hAnsi="Calibri" w:cs="Calibri"/>
          <w:bCs/>
          <w:sz w:val="24"/>
          <w:szCs w:val="24"/>
          <w:lang w:val="en-AU"/>
        </w:rPr>
        <w:t xml:space="preserve">: </w:t>
      </w:r>
      <w:r w:rsidR="00712573">
        <w:rPr>
          <w:rFonts w:ascii="Calibri" w:eastAsia="Times" w:hAnsi="Calibri" w:cs="Calibri"/>
          <w:bCs/>
          <w:sz w:val="24"/>
          <w:szCs w:val="24"/>
          <w:lang w:val="en-AU"/>
        </w:rPr>
        <w:t>the meaning</w:t>
      </w:r>
      <w:r>
        <w:rPr>
          <w:rFonts w:ascii="Calibri" w:eastAsia="Times" w:hAnsi="Calibri" w:cs="Calibri"/>
          <w:bCs/>
          <w:sz w:val="24"/>
          <w:szCs w:val="24"/>
          <w:lang w:val="en-AU"/>
        </w:rPr>
        <w:t xml:space="preserve"> of section 82(1)(a) and (b) of the SWR Act must be ascertained from the text and in the light of th</w:t>
      </w:r>
      <w:r w:rsidR="00A93442">
        <w:rPr>
          <w:rFonts w:ascii="Calibri" w:eastAsia="Times" w:hAnsi="Calibri" w:cs="Calibri"/>
          <w:bCs/>
          <w:sz w:val="24"/>
          <w:szCs w:val="24"/>
          <w:lang w:val="en-AU"/>
        </w:rPr>
        <w:t>e Act’s</w:t>
      </w:r>
      <w:r>
        <w:rPr>
          <w:rFonts w:ascii="Calibri" w:eastAsia="Times" w:hAnsi="Calibri" w:cs="Calibri"/>
          <w:bCs/>
          <w:sz w:val="24"/>
          <w:szCs w:val="24"/>
          <w:lang w:val="en-AU"/>
        </w:rPr>
        <w:t xml:space="preserve"> purpose.</w:t>
      </w:r>
      <w:r w:rsidRPr="00E65BA2">
        <w:rPr>
          <w:rFonts w:ascii="Calibri" w:eastAsia="Times" w:hAnsi="Calibri" w:cs="Calibri"/>
          <w:bCs/>
          <w:sz w:val="24"/>
          <w:szCs w:val="24"/>
          <w:lang w:val="en-AU"/>
        </w:rPr>
        <w:t xml:space="preserve"> </w:t>
      </w:r>
    </w:p>
    <w:p w14:paraId="005337FE" w14:textId="672DC364" w:rsidR="003F2590" w:rsidRDefault="00CC52B7" w:rsidP="00A5662B">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The interpretation of a statute must include its context</w:t>
      </w:r>
      <w:r w:rsidR="00414AB4">
        <w:rPr>
          <w:rFonts w:ascii="Calibri" w:eastAsia="Times" w:hAnsi="Calibri" w:cs="Calibri"/>
          <w:bCs/>
          <w:sz w:val="24"/>
          <w:szCs w:val="24"/>
          <w:lang w:val="en-AU"/>
        </w:rPr>
        <w:t xml:space="preserve">, </w:t>
      </w:r>
      <w:r>
        <w:rPr>
          <w:rFonts w:ascii="Calibri" w:eastAsia="Times" w:hAnsi="Calibri" w:cs="Calibri"/>
          <w:bCs/>
          <w:sz w:val="24"/>
          <w:szCs w:val="24"/>
          <w:lang w:val="en-AU"/>
        </w:rPr>
        <w:t xml:space="preserve">not just the relevant sections that confer jurisdiction on the Tribunal in isolation. </w:t>
      </w:r>
      <w:r w:rsidRPr="00E65BA2">
        <w:rPr>
          <w:rFonts w:ascii="Calibri" w:eastAsia="Times" w:hAnsi="Calibri" w:cs="Calibri"/>
          <w:bCs/>
          <w:sz w:val="24"/>
          <w:szCs w:val="24"/>
          <w:lang w:val="en-AU"/>
        </w:rPr>
        <w:t xml:space="preserve">The fundamental question </w:t>
      </w:r>
      <w:r>
        <w:rPr>
          <w:rFonts w:ascii="Calibri" w:eastAsia="Times" w:hAnsi="Calibri" w:cs="Calibri"/>
          <w:bCs/>
          <w:sz w:val="24"/>
          <w:szCs w:val="24"/>
          <w:lang w:val="en-AU"/>
        </w:rPr>
        <w:t>the</w:t>
      </w:r>
      <w:r w:rsidRPr="00E65BA2">
        <w:rPr>
          <w:rFonts w:ascii="Calibri" w:eastAsia="Times" w:hAnsi="Calibri" w:cs="Calibri"/>
          <w:bCs/>
          <w:sz w:val="24"/>
          <w:szCs w:val="24"/>
          <w:lang w:val="en-AU"/>
        </w:rPr>
        <w:t xml:space="preserve"> Tribunal </w:t>
      </w:r>
      <w:r>
        <w:rPr>
          <w:rFonts w:ascii="Calibri" w:eastAsia="Times" w:hAnsi="Calibri" w:cs="Calibri"/>
          <w:bCs/>
          <w:sz w:val="24"/>
          <w:szCs w:val="24"/>
          <w:lang w:val="en-AU"/>
        </w:rPr>
        <w:t xml:space="preserve">asked itself </w:t>
      </w:r>
      <w:r w:rsidR="00965448">
        <w:rPr>
          <w:rFonts w:ascii="Calibri" w:eastAsia="Times" w:hAnsi="Calibri" w:cs="Calibri"/>
          <w:bCs/>
          <w:sz w:val="24"/>
          <w:szCs w:val="24"/>
          <w:lang w:val="en-AU"/>
        </w:rPr>
        <w:t xml:space="preserve">was </w:t>
      </w:r>
      <w:r>
        <w:rPr>
          <w:rFonts w:ascii="Calibri" w:eastAsia="Times" w:hAnsi="Calibri" w:cs="Calibri"/>
          <w:bCs/>
          <w:sz w:val="24"/>
          <w:szCs w:val="24"/>
          <w:lang w:val="en-AU"/>
        </w:rPr>
        <w:t xml:space="preserve">whether it </w:t>
      </w:r>
      <w:r w:rsidRPr="00E65BA2">
        <w:rPr>
          <w:rFonts w:ascii="Calibri" w:eastAsia="Times" w:hAnsi="Calibri" w:cs="Calibri"/>
          <w:bCs/>
          <w:sz w:val="24"/>
          <w:szCs w:val="24"/>
          <w:lang w:val="en-AU"/>
        </w:rPr>
        <w:t>c</w:t>
      </w:r>
      <w:r w:rsidR="00BA6423">
        <w:rPr>
          <w:rFonts w:ascii="Calibri" w:eastAsia="Times" w:hAnsi="Calibri" w:cs="Calibri"/>
          <w:bCs/>
          <w:sz w:val="24"/>
          <w:szCs w:val="24"/>
          <w:lang w:val="en-AU"/>
        </w:rPr>
        <w:t>ould</w:t>
      </w:r>
      <w:r w:rsidRPr="00E65BA2">
        <w:rPr>
          <w:rFonts w:ascii="Calibri" w:eastAsia="Times" w:hAnsi="Calibri" w:cs="Calibri"/>
          <w:bCs/>
          <w:sz w:val="24"/>
          <w:szCs w:val="24"/>
          <w:lang w:val="en-AU"/>
        </w:rPr>
        <w:t xml:space="preserve"> find, from the terms of the statute, with sufficient clarity, an intent that </w:t>
      </w:r>
      <w:r w:rsidR="00BA6423">
        <w:rPr>
          <w:rFonts w:ascii="Calibri" w:eastAsia="Times" w:hAnsi="Calibri" w:cs="Calibri"/>
          <w:bCs/>
          <w:sz w:val="24"/>
          <w:szCs w:val="24"/>
          <w:lang w:val="en-AU"/>
        </w:rPr>
        <w:t>section 82(1)(a) and (b)</w:t>
      </w:r>
      <w:r w:rsidRPr="00E65BA2">
        <w:rPr>
          <w:rFonts w:ascii="Calibri" w:eastAsia="Times" w:hAnsi="Calibri" w:cs="Calibri"/>
          <w:bCs/>
          <w:sz w:val="24"/>
          <w:szCs w:val="24"/>
          <w:lang w:val="en-AU"/>
        </w:rPr>
        <w:t xml:space="preserve"> should govern events occurring before a social worker becomes registered under the Act, as well as events occurring thereafter. Such intent can be found either from express provisions, of which directly there are none, or by necessary and distinct implication.</w:t>
      </w:r>
    </w:p>
    <w:p w14:paraId="3D8F33AB" w14:textId="77777777" w:rsidR="003F2590" w:rsidRDefault="003F2590" w:rsidP="00B443F4">
      <w:pPr>
        <w:tabs>
          <w:tab w:val="left" w:pos="567"/>
        </w:tabs>
        <w:spacing w:after="0" w:line="360" w:lineRule="auto"/>
        <w:ind w:left="567"/>
        <w:jc w:val="both"/>
        <w:rPr>
          <w:rFonts w:ascii="Calibri" w:eastAsia="Times" w:hAnsi="Calibri" w:cs="Calibri"/>
          <w:bCs/>
          <w:sz w:val="24"/>
          <w:szCs w:val="24"/>
          <w:lang w:val="en-AU"/>
        </w:rPr>
      </w:pPr>
    </w:p>
    <w:p w14:paraId="4B99B3DC" w14:textId="0C44A5BB" w:rsidR="0042458B" w:rsidRPr="00B443F4" w:rsidRDefault="00D7395F" w:rsidP="00D7395F">
      <w:pPr>
        <w:tabs>
          <w:tab w:val="left" w:pos="567"/>
        </w:tabs>
        <w:spacing w:after="0" w:line="360" w:lineRule="auto"/>
        <w:jc w:val="both"/>
        <w:rPr>
          <w:rFonts w:ascii="Calibri" w:eastAsia="Times" w:hAnsi="Calibri" w:cs="Calibri"/>
          <w:bCs/>
          <w:i/>
          <w:iCs/>
          <w:sz w:val="24"/>
          <w:szCs w:val="24"/>
          <w:lang w:val="en-AU"/>
        </w:rPr>
      </w:pPr>
      <w:r w:rsidRPr="00B443F4">
        <w:rPr>
          <w:rFonts w:ascii="Calibri" w:eastAsia="Times" w:hAnsi="Calibri" w:cs="Calibri"/>
          <w:bCs/>
          <w:i/>
          <w:iCs/>
          <w:sz w:val="24"/>
          <w:szCs w:val="24"/>
          <w:lang w:val="en-AU"/>
        </w:rPr>
        <w:t>Ascertaining meaning from</w:t>
      </w:r>
      <w:r w:rsidR="00B443F4" w:rsidRPr="00B443F4">
        <w:rPr>
          <w:rFonts w:ascii="Calibri" w:eastAsia="Times" w:hAnsi="Calibri" w:cs="Calibri"/>
          <w:bCs/>
          <w:i/>
          <w:iCs/>
          <w:sz w:val="24"/>
          <w:szCs w:val="24"/>
          <w:lang w:val="en-AU"/>
        </w:rPr>
        <w:t xml:space="preserve"> the text and in the light of the Act’s purpose</w:t>
      </w:r>
      <w:r w:rsidR="00B443F4">
        <w:rPr>
          <w:rFonts w:ascii="Calibri" w:eastAsia="Times" w:hAnsi="Calibri" w:cs="Calibri"/>
          <w:bCs/>
          <w:i/>
          <w:iCs/>
          <w:sz w:val="24"/>
          <w:szCs w:val="24"/>
          <w:lang w:val="en-AU"/>
        </w:rPr>
        <w:t>:</w:t>
      </w:r>
    </w:p>
    <w:p w14:paraId="25AC8ED9" w14:textId="2D8D53CF" w:rsidR="00623803" w:rsidRPr="00623803" w:rsidRDefault="00623803" w:rsidP="003E0042">
      <w:pPr>
        <w:tabs>
          <w:tab w:val="left" w:pos="567"/>
        </w:tabs>
        <w:spacing w:after="0" w:line="360" w:lineRule="auto"/>
        <w:jc w:val="both"/>
        <w:rPr>
          <w:rFonts w:ascii="Calibri" w:eastAsia="Times" w:hAnsi="Calibri" w:cs="Calibri"/>
          <w:bCs/>
          <w:i/>
          <w:iCs/>
          <w:sz w:val="24"/>
          <w:szCs w:val="24"/>
          <w:lang w:val="en-AU"/>
        </w:rPr>
      </w:pPr>
      <w:r>
        <w:rPr>
          <w:rFonts w:ascii="Calibri" w:eastAsia="Times" w:hAnsi="Calibri" w:cs="Calibri"/>
          <w:bCs/>
          <w:i/>
          <w:iCs/>
          <w:sz w:val="24"/>
          <w:szCs w:val="24"/>
          <w:lang w:val="en-AU"/>
        </w:rPr>
        <w:t>The disciplinary regime</w:t>
      </w:r>
      <w:r w:rsidR="0036750C">
        <w:rPr>
          <w:rFonts w:ascii="Calibri" w:eastAsia="Times" w:hAnsi="Calibri" w:cs="Calibri"/>
          <w:bCs/>
          <w:i/>
          <w:iCs/>
          <w:sz w:val="24"/>
          <w:szCs w:val="24"/>
          <w:lang w:val="en-AU"/>
        </w:rPr>
        <w:t xml:space="preserve"> under the SWR Act</w:t>
      </w:r>
    </w:p>
    <w:p w14:paraId="70ECF790" w14:textId="25BE4C83" w:rsidR="00241733" w:rsidRPr="00E929C1" w:rsidRDefault="002D3638" w:rsidP="00E929C1">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Part 4 of the SWR Act deals with </w:t>
      </w:r>
      <w:r w:rsidR="002D08C9">
        <w:rPr>
          <w:rFonts w:ascii="Calibri" w:eastAsia="Times" w:hAnsi="Calibri" w:cs="Calibri"/>
          <w:bCs/>
          <w:sz w:val="24"/>
          <w:szCs w:val="20"/>
          <w:lang w:val="en-AU"/>
        </w:rPr>
        <w:t xml:space="preserve">the </w:t>
      </w:r>
      <w:r>
        <w:rPr>
          <w:rFonts w:ascii="Calibri" w:eastAsia="Times" w:hAnsi="Calibri" w:cs="Calibri"/>
          <w:bCs/>
          <w:sz w:val="24"/>
          <w:szCs w:val="20"/>
          <w:lang w:val="en-AU"/>
        </w:rPr>
        <w:t>discipline</w:t>
      </w:r>
      <w:r w:rsidR="00AF7BA9">
        <w:rPr>
          <w:rFonts w:ascii="Calibri" w:eastAsia="Times" w:hAnsi="Calibri" w:cs="Calibri"/>
          <w:bCs/>
          <w:sz w:val="24"/>
          <w:szCs w:val="20"/>
          <w:lang w:val="en-AU"/>
        </w:rPr>
        <w:t xml:space="preserve"> of social workers</w:t>
      </w:r>
      <w:r>
        <w:rPr>
          <w:rFonts w:ascii="Calibri" w:eastAsia="Times" w:hAnsi="Calibri" w:cs="Calibri"/>
          <w:bCs/>
          <w:sz w:val="24"/>
          <w:szCs w:val="20"/>
          <w:lang w:val="en-AU"/>
        </w:rPr>
        <w:t xml:space="preserve">. It proceeds on the basis </w:t>
      </w:r>
      <w:r w:rsidR="005E1BA5">
        <w:rPr>
          <w:rFonts w:ascii="Calibri" w:eastAsia="Times" w:hAnsi="Calibri" w:cs="Calibri"/>
          <w:bCs/>
          <w:sz w:val="24"/>
          <w:szCs w:val="20"/>
          <w:lang w:val="en-AU"/>
        </w:rPr>
        <w:t>th</w:t>
      </w:r>
      <w:r w:rsidR="001B3F48">
        <w:rPr>
          <w:rFonts w:ascii="Calibri" w:eastAsia="Times" w:hAnsi="Calibri" w:cs="Calibri"/>
          <w:bCs/>
          <w:sz w:val="24"/>
          <w:szCs w:val="20"/>
          <w:lang w:val="en-AU"/>
        </w:rPr>
        <w:t>e</w:t>
      </w:r>
      <w:r w:rsidR="00D4794A">
        <w:rPr>
          <w:rFonts w:ascii="Calibri" w:eastAsia="Times" w:hAnsi="Calibri" w:cs="Calibri"/>
          <w:bCs/>
          <w:sz w:val="24"/>
          <w:szCs w:val="20"/>
          <w:lang w:val="en-AU"/>
        </w:rPr>
        <w:t xml:space="preserve"> </w:t>
      </w:r>
      <w:r>
        <w:rPr>
          <w:rFonts w:ascii="Calibri" w:eastAsia="Times" w:hAnsi="Calibri" w:cs="Calibri"/>
          <w:bCs/>
          <w:sz w:val="24"/>
          <w:szCs w:val="20"/>
          <w:lang w:val="en-AU"/>
        </w:rPr>
        <w:t xml:space="preserve">PCC and the Tribunal have jurisdiction in respect of </w:t>
      </w:r>
      <w:r w:rsidRPr="004E1E59">
        <w:rPr>
          <w:rFonts w:ascii="Calibri" w:eastAsia="Times" w:hAnsi="Calibri" w:cs="Calibri"/>
          <w:bCs/>
          <w:i/>
          <w:iCs/>
          <w:sz w:val="24"/>
          <w:szCs w:val="20"/>
          <w:lang w:val="en-AU"/>
        </w:rPr>
        <w:t>“social workers”</w:t>
      </w:r>
      <w:r>
        <w:rPr>
          <w:rFonts w:ascii="Calibri" w:eastAsia="Times" w:hAnsi="Calibri" w:cs="Calibri"/>
          <w:bCs/>
          <w:sz w:val="24"/>
          <w:szCs w:val="20"/>
          <w:lang w:val="en-AU"/>
        </w:rPr>
        <w:t xml:space="preserve">. </w:t>
      </w:r>
      <w:r w:rsidR="00241733">
        <w:rPr>
          <w:rFonts w:ascii="Calibri" w:eastAsia="Times" w:hAnsi="Calibri" w:cs="Calibri"/>
          <w:bCs/>
          <w:sz w:val="24"/>
          <w:szCs w:val="20"/>
          <w:lang w:val="en-AU"/>
        </w:rPr>
        <w:t>Section 115 which deals with the function of the Tribunal</w:t>
      </w:r>
      <w:r w:rsidR="00B73491">
        <w:rPr>
          <w:rFonts w:ascii="Calibri" w:eastAsia="Times" w:hAnsi="Calibri" w:cs="Calibri"/>
          <w:bCs/>
          <w:sz w:val="24"/>
          <w:szCs w:val="20"/>
          <w:lang w:val="en-AU"/>
        </w:rPr>
        <w:t>,</w:t>
      </w:r>
      <w:r w:rsidR="00241733">
        <w:rPr>
          <w:rFonts w:ascii="Calibri" w:eastAsia="Times" w:hAnsi="Calibri" w:cs="Calibri"/>
          <w:bCs/>
          <w:sz w:val="24"/>
          <w:szCs w:val="20"/>
          <w:lang w:val="en-AU"/>
        </w:rPr>
        <w:t xml:space="preserve"> provides that</w:t>
      </w:r>
      <w:r w:rsidR="007D43E4">
        <w:rPr>
          <w:rFonts w:ascii="Calibri" w:eastAsia="Times" w:hAnsi="Calibri" w:cs="Calibri"/>
          <w:bCs/>
          <w:sz w:val="24"/>
          <w:szCs w:val="20"/>
          <w:lang w:val="en-AU"/>
        </w:rPr>
        <w:t xml:space="preserve"> one of</w:t>
      </w:r>
      <w:r w:rsidR="00241733">
        <w:rPr>
          <w:rFonts w:ascii="Calibri" w:eastAsia="Times" w:hAnsi="Calibri" w:cs="Calibri"/>
          <w:bCs/>
          <w:sz w:val="24"/>
          <w:szCs w:val="20"/>
          <w:lang w:val="en-AU"/>
        </w:rPr>
        <w:t xml:space="preserve"> </w:t>
      </w:r>
      <w:r w:rsidR="00732F22">
        <w:rPr>
          <w:rFonts w:ascii="Calibri" w:eastAsia="Times" w:hAnsi="Calibri" w:cs="Calibri"/>
          <w:bCs/>
          <w:sz w:val="24"/>
          <w:szCs w:val="20"/>
          <w:lang w:val="en-AU"/>
        </w:rPr>
        <w:t>the function</w:t>
      </w:r>
      <w:r w:rsidR="007714CD">
        <w:rPr>
          <w:rFonts w:ascii="Calibri" w:eastAsia="Times" w:hAnsi="Calibri" w:cs="Calibri"/>
          <w:bCs/>
          <w:sz w:val="24"/>
          <w:szCs w:val="20"/>
          <w:lang w:val="en-AU"/>
        </w:rPr>
        <w:t>s</w:t>
      </w:r>
      <w:r w:rsidR="00732F22">
        <w:rPr>
          <w:rFonts w:ascii="Calibri" w:eastAsia="Times" w:hAnsi="Calibri" w:cs="Calibri"/>
          <w:bCs/>
          <w:sz w:val="24"/>
          <w:szCs w:val="20"/>
          <w:lang w:val="en-AU"/>
        </w:rPr>
        <w:t xml:space="preserve"> of the Tribunal is </w:t>
      </w:r>
      <w:r w:rsidR="001A2975" w:rsidRPr="00B73491">
        <w:rPr>
          <w:rFonts w:ascii="Calibri" w:eastAsia="Times" w:hAnsi="Calibri" w:cs="Calibri"/>
          <w:bCs/>
          <w:i/>
          <w:iCs/>
          <w:sz w:val="24"/>
          <w:szCs w:val="20"/>
          <w:lang w:val="en-AU"/>
        </w:rPr>
        <w:t>“</w:t>
      </w:r>
      <w:r w:rsidR="00732F22" w:rsidRPr="00B73491">
        <w:rPr>
          <w:rFonts w:ascii="Calibri" w:eastAsia="Times" w:hAnsi="Calibri" w:cs="Calibri"/>
          <w:bCs/>
          <w:i/>
          <w:iCs/>
          <w:sz w:val="24"/>
          <w:szCs w:val="20"/>
          <w:lang w:val="en-AU"/>
        </w:rPr>
        <w:t>to exercise the disciplinary powers over social workers conferred by th</w:t>
      </w:r>
      <w:r w:rsidR="001A2975" w:rsidRPr="00B73491">
        <w:rPr>
          <w:rFonts w:ascii="Calibri" w:eastAsia="Times" w:hAnsi="Calibri" w:cs="Calibri"/>
          <w:bCs/>
          <w:i/>
          <w:iCs/>
          <w:sz w:val="24"/>
          <w:szCs w:val="20"/>
          <w:lang w:val="en-AU"/>
        </w:rPr>
        <w:t xml:space="preserve">is </w:t>
      </w:r>
      <w:r w:rsidR="00732F22" w:rsidRPr="00B73491">
        <w:rPr>
          <w:rFonts w:ascii="Calibri" w:eastAsia="Times" w:hAnsi="Calibri" w:cs="Calibri"/>
          <w:bCs/>
          <w:i/>
          <w:iCs/>
          <w:sz w:val="24"/>
          <w:szCs w:val="20"/>
          <w:lang w:val="en-AU"/>
        </w:rPr>
        <w:t>Act</w:t>
      </w:r>
      <w:r w:rsidR="001A2975" w:rsidRPr="00B73491">
        <w:rPr>
          <w:rFonts w:ascii="Calibri" w:eastAsia="Times" w:hAnsi="Calibri" w:cs="Calibri"/>
          <w:bCs/>
          <w:i/>
          <w:iCs/>
          <w:sz w:val="24"/>
          <w:szCs w:val="20"/>
          <w:lang w:val="en-AU"/>
        </w:rPr>
        <w:t>”</w:t>
      </w:r>
      <w:r w:rsidR="00732F22" w:rsidRPr="00B73491">
        <w:rPr>
          <w:rFonts w:ascii="Calibri" w:eastAsia="Times" w:hAnsi="Calibri" w:cs="Calibri"/>
          <w:bCs/>
          <w:i/>
          <w:iCs/>
          <w:sz w:val="24"/>
          <w:szCs w:val="20"/>
          <w:lang w:val="en-AU"/>
        </w:rPr>
        <w:t>.</w:t>
      </w:r>
      <w:r w:rsidR="007714CD">
        <w:rPr>
          <w:rFonts w:ascii="Calibri" w:eastAsia="Times" w:hAnsi="Calibri" w:cs="Calibri"/>
          <w:bCs/>
          <w:sz w:val="24"/>
          <w:szCs w:val="20"/>
          <w:lang w:val="en-AU"/>
        </w:rPr>
        <w:t xml:space="preserve"> </w:t>
      </w:r>
    </w:p>
    <w:p w14:paraId="09C781A5" w14:textId="394A2D55" w:rsidR="00BC4FC3" w:rsidRDefault="00B55A62" w:rsidP="002D3638">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One of the changes to the Act introduced by the Social Workers Registration Legislation Act 2019 was the inclusion of a definition of </w:t>
      </w:r>
      <w:r w:rsidRPr="004E1E59">
        <w:rPr>
          <w:rFonts w:ascii="Calibri" w:eastAsia="Times" w:hAnsi="Calibri" w:cs="Calibri"/>
          <w:bCs/>
          <w:i/>
          <w:iCs/>
          <w:sz w:val="24"/>
          <w:szCs w:val="20"/>
          <w:lang w:val="en-AU"/>
        </w:rPr>
        <w:t>“social worker”</w:t>
      </w:r>
      <w:r>
        <w:rPr>
          <w:rFonts w:ascii="Calibri" w:eastAsia="Times" w:hAnsi="Calibri" w:cs="Calibri"/>
          <w:bCs/>
          <w:sz w:val="24"/>
          <w:szCs w:val="20"/>
          <w:lang w:val="en-AU"/>
        </w:rPr>
        <w:t xml:space="preserve">. </w:t>
      </w:r>
      <w:r w:rsidR="00BC4FC3">
        <w:rPr>
          <w:rFonts w:ascii="Calibri" w:eastAsia="Times" w:hAnsi="Calibri" w:cs="Calibri"/>
          <w:bCs/>
          <w:sz w:val="24"/>
          <w:szCs w:val="20"/>
          <w:lang w:val="en-AU"/>
        </w:rPr>
        <w:t>The term “social worker” is defined in section 4 as meaning:</w:t>
      </w:r>
    </w:p>
    <w:p w14:paraId="1ED4FD6D" w14:textId="31308635" w:rsidR="00BC4FC3" w:rsidRDefault="00BC4FC3" w:rsidP="00E46262">
      <w:pPr>
        <w:tabs>
          <w:tab w:val="left" w:pos="567"/>
        </w:tabs>
        <w:spacing w:after="0" w:line="360" w:lineRule="auto"/>
        <w:ind w:left="567"/>
        <w:jc w:val="both"/>
        <w:rPr>
          <w:rFonts w:ascii="Calibri" w:eastAsia="Times" w:hAnsi="Calibri" w:cs="Calibri"/>
          <w:bCs/>
          <w:i/>
          <w:iCs/>
          <w:sz w:val="24"/>
          <w:szCs w:val="24"/>
          <w:lang w:val="en-AU"/>
        </w:rPr>
      </w:pPr>
      <w:r>
        <w:rPr>
          <w:rFonts w:ascii="Calibri" w:eastAsia="Times" w:hAnsi="Calibri" w:cs="Calibri"/>
          <w:bCs/>
          <w:sz w:val="24"/>
          <w:szCs w:val="20"/>
          <w:lang w:val="en-AU"/>
        </w:rPr>
        <w:tab/>
      </w:r>
      <w:r>
        <w:rPr>
          <w:rFonts w:ascii="Calibri" w:eastAsia="Times" w:hAnsi="Calibri" w:cs="Calibri"/>
          <w:bCs/>
          <w:sz w:val="24"/>
          <w:szCs w:val="20"/>
          <w:lang w:val="en-AU"/>
        </w:rPr>
        <w:tab/>
      </w:r>
      <w:r w:rsidRPr="00BC4FC3">
        <w:rPr>
          <w:rFonts w:ascii="Calibri" w:eastAsia="Times" w:hAnsi="Calibri" w:cs="Calibri"/>
          <w:bCs/>
          <w:i/>
          <w:iCs/>
          <w:sz w:val="24"/>
          <w:szCs w:val="24"/>
          <w:lang w:val="en-AU"/>
        </w:rPr>
        <w:t>“a person who is registered under this Act as a social worker”</w:t>
      </w:r>
    </w:p>
    <w:p w14:paraId="246C573D" w14:textId="06ED0193" w:rsidR="00DA7B9C" w:rsidRPr="004045AD" w:rsidRDefault="00F37460" w:rsidP="004045A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Section </w:t>
      </w:r>
      <w:r w:rsidR="00DA7B9C" w:rsidRPr="004045AD">
        <w:rPr>
          <w:rFonts w:ascii="Calibri" w:eastAsia="Times" w:hAnsi="Calibri" w:cs="Calibri"/>
          <w:bCs/>
          <w:sz w:val="24"/>
          <w:szCs w:val="24"/>
          <w:lang w:val="en-AU"/>
        </w:rPr>
        <w:t xml:space="preserve">5A of the SWR Act, which was also introduced </w:t>
      </w:r>
      <w:r w:rsidR="00DA7B9C" w:rsidRPr="0038200C">
        <w:rPr>
          <w:rFonts w:ascii="Calibri" w:eastAsia="Times" w:hAnsi="Calibri" w:cs="Calibri"/>
          <w:bCs/>
          <w:sz w:val="24"/>
          <w:szCs w:val="24"/>
          <w:lang w:val="en-AU"/>
        </w:rPr>
        <w:t>from 28 February 2019, relates to the Board’s function to describe the social work services that are performed by the social work profession, in one or more scopes of practice</w:t>
      </w:r>
      <w:r w:rsidR="008F12EE" w:rsidRPr="0038200C">
        <w:rPr>
          <w:rFonts w:ascii="Calibri" w:eastAsia="Times" w:hAnsi="Calibri" w:cs="Calibri"/>
          <w:bCs/>
          <w:sz w:val="24"/>
          <w:szCs w:val="24"/>
          <w:lang w:val="en-AU"/>
        </w:rPr>
        <w:t xml:space="preserve"> (notified in the </w:t>
      </w:r>
      <w:r w:rsidR="008F12EE" w:rsidRPr="0038200C">
        <w:rPr>
          <w:rFonts w:ascii="Calibri" w:eastAsia="Times" w:hAnsi="Calibri" w:cs="Calibri"/>
          <w:bCs/>
          <w:i/>
          <w:iCs/>
          <w:sz w:val="24"/>
          <w:szCs w:val="24"/>
          <w:lang w:val="en-AU"/>
        </w:rPr>
        <w:t>Gazette)</w:t>
      </w:r>
      <w:r w:rsidR="00DA7B9C" w:rsidRPr="0038200C">
        <w:rPr>
          <w:rFonts w:ascii="Calibri" w:eastAsia="Times" w:hAnsi="Calibri" w:cs="Calibri"/>
          <w:bCs/>
          <w:sz w:val="24"/>
          <w:szCs w:val="24"/>
          <w:lang w:val="en-AU"/>
        </w:rPr>
        <w:t>. Scopes of practi</w:t>
      </w:r>
      <w:r w:rsidR="00B945A2" w:rsidRPr="0038200C">
        <w:rPr>
          <w:rFonts w:ascii="Calibri" w:eastAsia="Times" w:hAnsi="Calibri" w:cs="Calibri"/>
          <w:bCs/>
          <w:sz w:val="24"/>
          <w:szCs w:val="24"/>
          <w:lang w:val="en-AU"/>
        </w:rPr>
        <w:t>c</w:t>
      </w:r>
      <w:r w:rsidR="00DA7B9C" w:rsidRPr="0038200C">
        <w:rPr>
          <w:rFonts w:ascii="Calibri" w:eastAsia="Times" w:hAnsi="Calibri" w:cs="Calibri"/>
          <w:bCs/>
          <w:sz w:val="24"/>
          <w:szCs w:val="24"/>
          <w:lang w:val="en-AU"/>
        </w:rPr>
        <w:t xml:space="preserve">e notified by the Board come into effect from 28 February 2021. </w:t>
      </w:r>
      <w:r w:rsidR="008F12EE" w:rsidRPr="0038200C">
        <w:rPr>
          <w:rFonts w:ascii="Calibri" w:eastAsia="Times" w:hAnsi="Calibri" w:cs="Calibri"/>
          <w:bCs/>
          <w:sz w:val="24"/>
          <w:szCs w:val="24"/>
          <w:lang w:val="en-AU"/>
        </w:rPr>
        <w:t>It is from</w:t>
      </w:r>
      <w:r w:rsidR="00DA7B9C" w:rsidRPr="0038200C">
        <w:rPr>
          <w:rFonts w:ascii="Calibri" w:eastAsia="Times" w:hAnsi="Calibri" w:cs="Calibri"/>
          <w:bCs/>
          <w:sz w:val="24"/>
          <w:szCs w:val="24"/>
          <w:lang w:val="en-AU"/>
        </w:rPr>
        <w:t xml:space="preserve"> that date,</w:t>
      </w:r>
      <w:r w:rsidR="008F12EE" w:rsidRPr="0038200C">
        <w:rPr>
          <w:rFonts w:ascii="Calibri" w:eastAsia="Times" w:hAnsi="Calibri" w:cs="Calibri"/>
          <w:bCs/>
          <w:sz w:val="24"/>
          <w:szCs w:val="24"/>
          <w:lang w:val="en-AU"/>
        </w:rPr>
        <w:t xml:space="preserve"> that mandatory registration takes effect, and</w:t>
      </w:r>
      <w:r w:rsidR="00DA7B9C" w:rsidRPr="0038200C">
        <w:rPr>
          <w:rFonts w:ascii="Calibri" w:eastAsia="Times" w:hAnsi="Calibri" w:cs="Calibri"/>
          <w:bCs/>
          <w:sz w:val="24"/>
          <w:szCs w:val="24"/>
          <w:lang w:val="en-AU"/>
        </w:rPr>
        <w:t xml:space="preserve"> a person cannot practise social work or hold themselves out as practising as a social worker, unless they are registered</w:t>
      </w:r>
      <w:r w:rsidR="008F12EE" w:rsidRPr="0038200C">
        <w:rPr>
          <w:rFonts w:ascii="Calibri" w:eastAsia="Times" w:hAnsi="Calibri" w:cs="Calibri"/>
          <w:bCs/>
          <w:sz w:val="24"/>
          <w:szCs w:val="24"/>
          <w:lang w:val="en-AU"/>
        </w:rPr>
        <w:t>.</w:t>
      </w:r>
    </w:p>
    <w:p w14:paraId="23C56AC2" w14:textId="29D7B479" w:rsidR="00D4794A" w:rsidRPr="0093504D" w:rsidRDefault="00BC4FC3" w:rsidP="0093504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key jurisdictional trigger </w:t>
      </w:r>
      <w:r w:rsidR="008C7FD7">
        <w:rPr>
          <w:rFonts w:ascii="Calibri" w:eastAsia="Times" w:hAnsi="Calibri" w:cs="Calibri"/>
          <w:bCs/>
          <w:sz w:val="24"/>
          <w:szCs w:val="24"/>
          <w:lang w:val="en-AU"/>
        </w:rPr>
        <w:t>for complaints</w:t>
      </w:r>
      <w:r w:rsidR="001C424C">
        <w:rPr>
          <w:rFonts w:ascii="Calibri" w:eastAsia="Times" w:hAnsi="Calibri" w:cs="Calibri"/>
          <w:bCs/>
          <w:sz w:val="24"/>
          <w:szCs w:val="24"/>
          <w:lang w:val="en-AU"/>
        </w:rPr>
        <w:t xml:space="preserve"> about a social worker</w:t>
      </w:r>
      <w:r w:rsidR="008C7FD7">
        <w:rPr>
          <w:rFonts w:ascii="Calibri" w:eastAsia="Times" w:hAnsi="Calibri" w:cs="Calibri"/>
          <w:bCs/>
          <w:sz w:val="24"/>
          <w:szCs w:val="24"/>
          <w:lang w:val="en-AU"/>
        </w:rPr>
        <w:t xml:space="preserve"> </w:t>
      </w:r>
      <w:r>
        <w:rPr>
          <w:rFonts w:ascii="Calibri" w:eastAsia="Times" w:hAnsi="Calibri" w:cs="Calibri"/>
          <w:bCs/>
          <w:sz w:val="24"/>
          <w:szCs w:val="24"/>
          <w:lang w:val="en-AU"/>
        </w:rPr>
        <w:t>is that a social worker is registered</w:t>
      </w:r>
      <w:r w:rsidR="00414AB4">
        <w:rPr>
          <w:rFonts w:ascii="Calibri" w:eastAsia="Times" w:hAnsi="Calibri" w:cs="Calibri"/>
          <w:bCs/>
          <w:sz w:val="24"/>
          <w:szCs w:val="24"/>
          <w:lang w:val="en-AU"/>
        </w:rPr>
        <w:t>, although it is not necessary that the social worker holds an annual practising certificate</w:t>
      </w:r>
      <w:r>
        <w:rPr>
          <w:rFonts w:ascii="Calibri" w:eastAsia="Times" w:hAnsi="Calibri" w:cs="Calibri"/>
          <w:bCs/>
          <w:sz w:val="24"/>
          <w:szCs w:val="24"/>
          <w:lang w:val="en-AU"/>
        </w:rPr>
        <w:t>.</w:t>
      </w:r>
      <w:r w:rsidR="003E585F">
        <w:rPr>
          <w:rFonts w:ascii="Calibri" w:eastAsia="Times" w:hAnsi="Calibri" w:cs="Calibri"/>
          <w:bCs/>
          <w:sz w:val="24"/>
          <w:szCs w:val="24"/>
          <w:lang w:val="en-AU"/>
        </w:rPr>
        <w:t xml:space="preserve"> Section 59 provides that </w:t>
      </w:r>
      <w:r w:rsidR="00EC7790" w:rsidRPr="00EC7790">
        <w:rPr>
          <w:rFonts w:ascii="Calibri" w:eastAsia="Times" w:hAnsi="Calibri" w:cs="Calibri"/>
          <w:bCs/>
          <w:i/>
          <w:iCs/>
          <w:sz w:val="24"/>
          <w:szCs w:val="24"/>
          <w:lang w:val="en-AU"/>
        </w:rPr>
        <w:t xml:space="preserve">“any person may make a complaint against a social worker </w:t>
      </w:r>
      <w:r w:rsidR="00613C89">
        <w:rPr>
          <w:rFonts w:ascii="Calibri" w:eastAsia="Times" w:hAnsi="Calibri" w:cs="Calibri"/>
          <w:bCs/>
          <w:i/>
          <w:iCs/>
          <w:sz w:val="24"/>
          <w:szCs w:val="24"/>
          <w:lang w:val="en-AU"/>
        </w:rPr>
        <w:t xml:space="preserve">…”. </w:t>
      </w:r>
      <w:r w:rsidR="00EC7790">
        <w:rPr>
          <w:rFonts w:ascii="Calibri" w:eastAsia="Times" w:hAnsi="Calibri" w:cs="Calibri"/>
          <w:bCs/>
          <w:sz w:val="24"/>
          <w:szCs w:val="24"/>
          <w:lang w:val="en-AU"/>
        </w:rPr>
        <w:t xml:space="preserve"> </w:t>
      </w:r>
    </w:p>
    <w:p w14:paraId="3036740F" w14:textId="33DC53EE" w:rsidR="00AF1B1D" w:rsidRPr="0093504D" w:rsidRDefault="00876A8C" w:rsidP="00AF1B1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Here there is no question </w:t>
      </w:r>
      <w:r w:rsidR="00FF6D7B">
        <w:rPr>
          <w:rFonts w:ascii="Calibri" w:eastAsia="Times" w:hAnsi="Calibri" w:cs="Calibri"/>
          <w:bCs/>
          <w:sz w:val="24"/>
          <w:szCs w:val="24"/>
          <w:lang w:val="en-AU"/>
        </w:rPr>
        <w:t xml:space="preserve">that the complaint </w:t>
      </w:r>
      <w:r w:rsidR="00895B06">
        <w:rPr>
          <w:rFonts w:ascii="Calibri" w:eastAsia="Times" w:hAnsi="Calibri" w:cs="Calibri"/>
          <w:bCs/>
          <w:sz w:val="24"/>
          <w:szCs w:val="24"/>
          <w:lang w:val="en-AU"/>
        </w:rPr>
        <w:t>about the practitioner which le</w:t>
      </w:r>
      <w:r w:rsidR="00FF6D7B">
        <w:rPr>
          <w:rFonts w:ascii="Calibri" w:eastAsia="Times" w:hAnsi="Calibri" w:cs="Calibri"/>
          <w:bCs/>
          <w:sz w:val="24"/>
          <w:szCs w:val="24"/>
          <w:lang w:val="en-AU"/>
        </w:rPr>
        <w:t>d to the establishment of the PCC</w:t>
      </w:r>
      <w:r w:rsidR="005E6DB7">
        <w:rPr>
          <w:rFonts w:ascii="Calibri" w:eastAsia="Times" w:hAnsi="Calibri" w:cs="Calibri"/>
          <w:bCs/>
          <w:sz w:val="24"/>
          <w:szCs w:val="24"/>
          <w:lang w:val="en-AU"/>
        </w:rPr>
        <w:t xml:space="preserve"> was made </w:t>
      </w:r>
      <w:r w:rsidR="007D3E77">
        <w:rPr>
          <w:rFonts w:ascii="Calibri" w:eastAsia="Times" w:hAnsi="Calibri" w:cs="Calibri"/>
          <w:bCs/>
          <w:sz w:val="24"/>
          <w:szCs w:val="24"/>
          <w:lang w:val="en-AU"/>
        </w:rPr>
        <w:t>when the practitioner was a registered social worker</w:t>
      </w:r>
      <w:r w:rsidR="005E6DB7">
        <w:rPr>
          <w:rFonts w:ascii="Calibri" w:eastAsia="Times" w:hAnsi="Calibri" w:cs="Calibri"/>
          <w:bCs/>
          <w:sz w:val="24"/>
          <w:szCs w:val="24"/>
          <w:lang w:val="en-AU"/>
        </w:rPr>
        <w:t xml:space="preserve">. </w:t>
      </w:r>
      <w:r w:rsidR="006349DE">
        <w:rPr>
          <w:rFonts w:ascii="Calibri" w:eastAsia="Times" w:hAnsi="Calibri" w:cs="Calibri"/>
          <w:bCs/>
          <w:sz w:val="24"/>
          <w:szCs w:val="24"/>
          <w:lang w:val="en-AU"/>
        </w:rPr>
        <w:t xml:space="preserve">Counsel advised that in </w:t>
      </w:r>
      <w:r w:rsidR="0097609C">
        <w:rPr>
          <w:rFonts w:ascii="Calibri" w:eastAsia="Times" w:hAnsi="Calibri" w:cs="Calibri"/>
          <w:bCs/>
          <w:sz w:val="24"/>
          <w:szCs w:val="24"/>
          <w:lang w:val="en-AU"/>
        </w:rPr>
        <w:t>August 2017</w:t>
      </w:r>
      <w:r w:rsidR="0097609C">
        <w:rPr>
          <w:rStyle w:val="FootnoteReference"/>
          <w:rFonts w:ascii="Calibri" w:eastAsia="Times" w:hAnsi="Calibri" w:cs="Calibri"/>
          <w:bCs/>
          <w:sz w:val="24"/>
          <w:szCs w:val="24"/>
          <w:lang w:val="en-AU"/>
        </w:rPr>
        <w:footnoteReference w:id="17"/>
      </w:r>
      <w:r w:rsidR="006349DE">
        <w:rPr>
          <w:rFonts w:ascii="Calibri" w:eastAsia="Times" w:hAnsi="Calibri" w:cs="Calibri"/>
          <w:bCs/>
          <w:sz w:val="24"/>
          <w:szCs w:val="24"/>
          <w:lang w:val="en-AU"/>
        </w:rPr>
        <w:t xml:space="preserve"> the practitioner had applied to the Board to be registered</w:t>
      </w:r>
      <w:r w:rsidR="00B945A2">
        <w:rPr>
          <w:rFonts w:ascii="Calibri" w:eastAsia="Times" w:hAnsi="Calibri" w:cs="Calibri"/>
          <w:bCs/>
          <w:sz w:val="24"/>
          <w:szCs w:val="24"/>
          <w:lang w:val="en-AU"/>
        </w:rPr>
        <w:t xml:space="preserve">. However, </w:t>
      </w:r>
      <w:r w:rsidR="006349DE">
        <w:rPr>
          <w:rFonts w:ascii="Calibri" w:eastAsia="Times" w:hAnsi="Calibri" w:cs="Calibri"/>
          <w:bCs/>
          <w:sz w:val="24"/>
          <w:szCs w:val="24"/>
          <w:lang w:val="en-AU"/>
        </w:rPr>
        <w:t xml:space="preserve">she did not achieve registration until 26 October 2018. </w:t>
      </w:r>
      <w:r w:rsidR="00F37460">
        <w:rPr>
          <w:rFonts w:ascii="Calibri" w:eastAsia="Times" w:hAnsi="Calibri" w:cs="Calibri"/>
          <w:bCs/>
          <w:sz w:val="24"/>
          <w:szCs w:val="24"/>
          <w:lang w:val="en-AU"/>
        </w:rPr>
        <w:t xml:space="preserve">As above, the </w:t>
      </w:r>
      <w:r w:rsidR="00803F47">
        <w:rPr>
          <w:rFonts w:ascii="Calibri" w:eastAsia="Times" w:hAnsi="Calibri" w:cs="Calibri"/>
          <w:bCs/>
          <w:sz w:val="24"/>
          <w:szCs w:val="24"/>
          <w:lang w:val="en-AU"/>
        </w:rPr>
        <w:t xml:space="preserve">complaint was made in January 2019. </w:t>
      </w:r>
      <w:r w:rsidR="005A0244">
        <w:rPr>
          <w:rFonts w:ascii="Calibri" w:eastAsia="Times" w:hAnsi="Calibri" w:cs="Calibri"/>
          <w:bCs/>
          <w:sz w:val="24"/>
          <w:szCs w:val="24"/>
          <w:lang w:val="en-AU"/>
        </w:rPr>
        <w:t>The Tribunal noted that h</w:t>
      </w:r>
      <w:r w:rsidR="005E6DB7">
        <w:rPr>
          <w:rFonts w:ascii="Calibri" w:eastAsia="Times" w:hAnsi="Calibri" w:cs="Calibri"/>
          <w:bCs/>
          <w:sz w:val="24"/>
          <w:szCs w:val="24"/>
          <w:lang w:val="en-AU"/>
        </w:rPr>
        <w:t xml:space="preserve">ad the complaint been made prior to </w:t>
      </w:r>
      <w:r w:rsidR="00803F47">
        <w:rPr>
          <w:rFonts w:ascii="Calibri" w:eastAsia="Times" w:hAnsi="Calibri" w:cs="Calibri"/>
          <w:bCs/>
          <w:sz w:val="24"/>
          <w:szCs w:val="24"/>
          <w:lang w:val="en-AU"/>
        </w:rPr>
        <w:t xml:space="preserve">the practitioner’s </w:t>
      </w:r>
      <w:r w:rsidR="005E6DB7">
        <w:rPr>
          <w:rFonts w:ascii="Calibri" w:eastAsia="Times" w:hAnsi="Calibri" w:cs="Calibri"/>
          <w:bCs/>
          <w:sz w:val="24"/>
          <w:szCs w:val="24"/>
          <w:lang w:val="en-AU"/>
        </w:rPr>
        <w:t xml:space="preserve">registration, </w:t>
      </w:r>
      <w:r w:rsidR="001F5603">
        <w:rPr>
          <w:rFonts w:ascii="Calibri" w:eastAsia="Times" w:hAnsi="Calibri" w:cs="Calibri"/>
          <w:bCs/>
          <w:sz w:val="24"/>
          <w:szCs w:val="24"/>
          <w:lang w:val="en-AU"/>
        </w:rPr>
        <w:t xml:space="preserve">the Board </w:t>
      </w:r>
      <w:r w:rsidR="005E6DB7">
        <w:rPr>
          <w:rFonts w:ascii="Calibri" w:eastAsia="Times" w:hAnsi="Calibri" w:cs="Calibri"/>
          <w:bCs/>
          <w:sz w:val="24"/>
          <w:szCs w:val="24"/>
          <w:lang w:val="en-AU"/>
        </w:rPr>
        <w:t>would not have been able to take any steps</w:t>
      </w:r>
      <w:r w:rsidR="005A0244">
        <w:rPr>
          <w:rFonts w:ascii="Calibri" w:eastAsia="Times" w:hAnsi="Calibri" w:cs="Calibri"/>
          <w:bCs/>
          <w:sz w:val="24"/>
          <w:szCs w:val="24"/>
          <w:lang w:val="en-AU"/>
        </w:rPr>
        <w:t xml:space="preserve"> in terms of initiating a </w:t>
      </w:r>
      <w:r w:rsidR="00803F47">
        <w:rPr>
          <w:rFonts w:ascii="Calibri" w:eastAsia="Times" w:hAnsi="Calibri" w:cs="Calibri"/>
          <w:bCs/>
          <w:sz w:val="24"/>
          <w:szCs w:val="24"/>
          <w:lang w:val="en-AU"/>
        </w:rPr>
        <w:t>complaint</w:t>
      </w:r>
      <w:r w:rsidR="005A0244">
        <w:rPr>
          <w:rFonts w:ascii="Calibri" w:eastAsia="Times" w:hAnsi="Calibri" w:cs="Calibri"/>
          <w:bCs/>
          <w:sz w:val="24"/>
          <w:szCs w:val="24"/>
          <w:lang w:val="en-AU"/>
        </w:rPr>
        <w:t xml:space="preserve"> investigation process by a </w:t>
      </w:r>
      <w:r w:rsidR="005A0244">
        <w:rPr>
          <w:rFonts w:ascii="Calibri" w:eastAsia="Times" w:hAnsi="Calibri" w:cs="Calibri"/>
          <w:bCs/>
          <w:sz w:val="24"/>
          <w:szCs w:val="24"/>
          <w:lang w:val="en-AU"/>
        </w:rPr>
        <w:lastRenderedPageBreak/>
        <w:t>PCC,</w:t>
      </w:r>
      <w:r w:rsidR="005E6DB7">
        <w:rPr>
          <w:rFonts w:ascii="Calibri" w:eastAsia="Times" w:hAnsi="Calibri" w:cs="Calibri"/>
          <w:bCs/>
          <w:sz w:val="24"/>
          <w:szCs w:val="24"/>
          <w:lang w:val="en-AU"/>
        </w:rPr>
        <w:t xml:space="preserve"> as the practitioner</w:t>
      </w:r>
      <w:r w:rsidR="002C0383">
        <w:rPr>
          <w:rFonts w:ascii="Calibri" w:eastAsia="Times" w:hAnsi="Calibri" w:cs="Calibri"/>
          <w:bCs/>
          <w:sz w:val="24"/>
          <w:szCs w:val="24"/>
          <w:lang w:val="en-AU"/>
        </w:rPr>
        <w:t xml:space="preserve"> was</w:t>
      </w:r>
      <w:r w:rsidR="00DA7DD8">
        <w:rPr>
          <w:rFonts w:ascii="Calibri" w:eastAsia="Times" w:hAnsi="Calibri" w:cs="Calibri"/>
          <w:bCs/>
          <w:sz w:val="24"/>
          <w:szCs w:val="24"/>
          <w:lang w:val="en-AU"/>
        </w:rPr>
        <w:t xml:space="preserve"> </w:t>
      </w:r>
      <w:r w:rsidR="00F37460">
        <w:rPr>
          <w:rFonts w:ascii="Calibri" w:eastAsia="Times" w:hAnsi="Calibri" w:cs="Calibri"/>
          <w:bCs/>
          <w:sz w:val="24"/>
          <w:szCs w:val="24"/>
          <w:lang w:val="en-AU"/>
        </w:rPr>
        <w:t>not on the Board’s Register. She was practising as a social worker on an unregistered basis, as she was legally able to.</w:t>
      </w:r>
    </w:p>
    <w:p w14:paraId="34454346" w14:textId="21D69690" w:rsidR="00B85B49" w:rsidRPr="0093504D" w:rsidRDefault="00414AB4" w:rsidP="0093504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w:t>
      </w:r>
      <w:r w:rsidR="005E6DB7" w:rsidRPr="008C0C35">
        <w:rPr>
          <w:rFonts w:ascii="Calibri" w:eastAsia="Times" w:hAnsi="Calibri" w:cs="Calibri"/>
          <w:bCs/>
          <w:sz w:val="24"/>
          <w:szCs w:val="24"/>
          <w:lang w:val="en-AU"/>
        </w:rPr>
        <w:t xml:space="preserve">he question is whether the Tribunal’s jurisdiction </w:t>
      </w:r>
      <w:r w:rsidR="00E136DB">
        <w:rPr>
          <w:rFonts w:ascii="Calibri" w:eastAsia="Times" w:hAnsi="Calibri" w:cs="Calibri"/>
          <w:bCs/>
          <w:sz w:val="24"/>
          <w:szCs w:val="24"/>
          <w:lang w:val="en-AU"/>
        </w:rPr>
        <w:t xml:space="preserve">to make findings under section 82(1)(a) and (b) </w:t>
      </w:r>
      <w:r w:rsidR="005E6DB7" w:rsidRPr="008C0C35">
        <w:rPr>
          <w:rFonts w:ascii="Calibri" w:eastAsia="Times" w:hAnsi="Calibri" w:cs="Calibri"/>
          <w:bCs/>
          <w:sz w:val="24"/>
          <w:szCs w:val="24"/>
          <w:lang w:val="en-AU"/>
        </w:rPr>
        <w:t>extends to the practitioner’s conduct prior to</w:t>
      </w:r>
      <w:r w:rsidR="00712573">
        <w:rPr>
          <w:rFonts w:ascii="Calibri" w:eastAsia="Times" w:hAnsi="Calibri" w:cs="Calibri"/>
          <w:bCs/>
          <w:sz w:val="24"/>
          <w:szCs w:val="24"/>
          <w:lang w:val="en-AU"/>
        </w:rPr>
        <w:t xml:space="preserve"> 26 October 2018</w:t>
      </w:r>
      <w:r w:rsidR="005E6DB7" w:rsidRPr="008C0C35">
        <w:rPr>
          <w:rFonts w:ascii="Calibri" w:eastAsia="Times" w:hAnsi="Calibri" w:cs="Calibri"/>
          <w:bCs/>
          <w:sz w:val="24"/>
          <w:szCs w:val="24"/>
          <w:lang w:val="en-AU"/>
        </w:rPr>
        <w:t>.</w:t>
      </w:r>
      <w:r w:rsidR="00692EC8" w:rsidRPr="008C0C35">
        <w:rPr>
          <w:rFonts w:ascii="Calibri" w:eastAsia="Times" w:hAnsi="Calibri" w:cs="Calibri"/>
          <w:bCs/>
          <w:sz w:val="24"/>
          <w:szCs w:val="24"/>
          <w:lang w:val="en-AU"/>
        </w:rPr>
        <w:t xml:space="preserve"> </w:t>
      </w:r>
    </w:p>
    <w:p w14:paraId="7AE2F8A2" w14:textId="6480F116" w:rsidR="001D55A3" w:rsidRPr="0093504D" w:rsidRDefault="0024043A" w:rsidP="00B41DF2">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w:t>
      </w:r>
      <w:r w:rsidR="00CA1188">
        <w:rPr>
          <w:rFonts w:ascii="Calibri" w:eastAsia="Times" w:hAnsi="Calibri" w:cs="Calibri"/>
          <w:bCs/>
          <w:sz w:val="24"/>
          <w:szCs w:val="24"/>
          <w:lang w:val="en-AU"/>
        </w:rPr>
        <w:t>he Tribunal accept</w:t>
      </w:r>
      <w:r w:rsidR="00C823AD">
        <w:rPr>
          <w:rFonts w:ascii="Calibri" w:eastAsia="Times" w:hAnsi="Calibri" w:cs="Calibri"/>
          <w:bCs/>
          <w:sz w:val="24"/>
          <w:szCs w:val="24"/>
          <w:lang w:val="en-AU"/>
        </w:rPr>
        <w:t>ed</w:t>
      </w:r>
      <w:r w:rsidR="008B246A">
        <w:rPr>
          <w:rFonts w:ascii="Calibri" w:eastAsia="Times" w:hAnsi="Calibri" w:cs="Calibri"/>
          <w:bCs/>
          <w:sz w:val="24"/>
          <w:szCs w:val="24"/>
          <w:lang w:val="en-AU"/>
        </w:rPr>
        <w:t xml:space="preserve"> the PCC’s submission that</w:t>
      </w:r>
      <w:r w:rsidR="00CA1188">
        <w:rPr>
          <w:rFonts w:ascii="Calibri" w:eastAsia="Times" w:hAnsi="Calibri" w:cs="Calibri"/>
          <w:bCs/>
          <w:sz w:val="24"/>
          <w:szCs w:val="24"/>
          <w:lang w:val="en-AU"/>
        </w:rPr>
        <w:t xml:space="preserve"> t</w:t>
      </w:r>
      <w:r w:rsidR="00B85B49">
        <w:rPr>
          <w:rFonts w:ascii="Calibri" w:eastAsia="Times" w:hAnsi="Calibri" w:cs="Calibri"/>
          <w:bCs/>
          <w:sz w:val="24"/>
          <w:szCs w:val="24"/>
          <w:lang w:val="en-AU"/>
        </w:rPr>
        <w:t>here is nothing</w:t>
      </w:r>
      <w:r w:rsidR="0006131A">
        <w:rPr>
          <w:rFonts w:ascii="Calibri" w:eastAsia="Times" w:hAnsi="Calibri" w:cs="Calibri"/>
          <w:bCs/>
          <w:sz w:val="24"/>
          <w:szCs w:val="24"/>
          <w:lang w:val="en-AU"/>
        </w:rPr>
        <w:t xml:space="preserve"> explicit</w:t>
      </w:r>
      <w:r w:rsidR="00B85B49">
        <w:rPr>
          <w:rFonts w:ascii="Calibri" w:eastAsia="Times" w:hAnsi="Calibri" w:cs="Calibri"/>
          <w:bCs/>
          <w:sz w:val="24"/>
          <w:szCs w:val="24"/>
          <w:lang w:val="en-AU"/>
        </w:rPr>
        <w:t xml:space="preserve"> in any of the relevant sections of the Act (even after amendment in 2019) to suggest that the power to investigate a complaint</w:t>
      </w:r>
      <w:r w:rsidR="001A7B29">
        <w:rPr>
          <w:rFonts w:ascii="Calibri" w:eastAsia="Times" w:hAnsi="Calibri" w:cs="Calibri"/>
          <w:bCs/>
          <w:sz w:val="24"/>
          <w:szCs w:val="24"/>
          <w:lang w:val="en-AU"/>
        </w:rPr>
        <w:t xml:space="preserve"> </w:t>
      </w:r>
      <w:r w:rsidR="00B85B49">
        <w:rPr>
          <w:rFonts w:ascii="Calibri" w:eastAsia="Times" w:hAnsi="Calibri" w:cs="Calibri"/>
          <w:bCs/>
          <w:sz w:val="24"/>
          <w:szCs w:val="24"/>
          <w:lang w:val="en-AU"/>
        </w:rPr>
        <w:t>is limited to events or conduct which occurred after the coming into force of the Act.</w:t>
      </w:r>
      <w:r w:rsidR="00390345">
        <w:rPr>
          <w:rFonts w:ascii="Calibri" w:eastAsia="Times" w:hAnsi="Calibri" w:cs="Calibri"/>
          <w:bCs/>
          <w:sz w:val="24"/>
          <w:szCs w:val="24"/>
          <w:lang w:val="en-AU"/>
        </w:rPr>
        <w:t xml:space="preserve"> </w:t>
      </w:r>
    </w:p>
    <w:p w14:paraId="3CC31734" w14:textId="25E6BE16" w:rsidR="00EE77CF" w:rsidRPr="0093504D" w:rsidRDefault="00715FC2" w:rsidP="0093504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It is accepted that the </w:t>
      </w:r>
      <w:r w:rsidR="0056779E">
        <w:rPr>
          <w:rFonts w:ascii="Calibri" w:eastAsia="Times" w:hAnsi="Calibri" w:cs="Calibri"/>
          <w:bCs/>
          <w:sz w:val="24"/>
          <w:szCs w:val="24"/>
          <w:lang w:val="en-AU"/>
        </w:rPr>
        <w:t>receipt of a complaint about a social worker ini</w:t>
      </w:r>
      <w:r w:rsidR="002A6790">
        <w:rPr>
          <w:rFonts w:ascii="Calibri" w:eastAsia="Times" w:hAnsi="Calibri" w:cs="Calibri"/>
          <w:bCs/>
          <w:sz w:val="24"/>
          <w:szCs w:val="24"/>
          <w:lang w:val="en-AU"/>
        </w:rPr>
        <w:t xml:space="preserve">tiates the Board’s complaints function and process. </w:t>
      </w:r>
      <w:r w:rsidR="001B5A6C">
        <w:rPr>
          <w:rFonts w:ascii="Calibri" w:eastAsia="Times" w:hAnsi="Calibri" w:cs="Calibri"/>
          <w:bCs/>
          <w:sz w:val="24"/>
          <w:szCs w:val="24"/>
          <w:lang w:val="en-AU"/>
        </w:rPr>
        <w:t>Upon receipt of a complaint the Registrar must refer the complaint to the Board</w:t>
      </w:r>
      <w:r w:rsidR="000744F7">
        <w:rPr>
          <w:rStyle w:val="FootnoteReference"/>
          <w:rFonts w:ascii="Calibri" w:eastAsia="Times" w:hAnsi="Calibri" w:cs="Calibri"/>
          <w:bCs/>
          <w:sz w:val="24"/>
          <w:szCs w:val="24"/>
          <w:lang w:val="en-AU"/>
        </w:rPr>
        <w:footnoteReference w:id="18"/>
      </w:r>
      <w:r w:rsidR="000744F7">
        <w:rPr>
          <w:rFonts w:ascii="Calibri" w:eastAsia="Times" w:hAnsi="Calibri" w:cs="Calibri"/>
          <w:bCs/>
          <w:sz w:val="24"/>
          <w:szCs w:val="24"/>
          <w:lang w:val="en-AU"/>
        </w:rPr>
        <w:t>. The Board must then refer the complaint to a PCC</w:t>
      </w:r>
      <w:r w:rsidR="00BA14DC">
        <w:rPr>
          <w:rFonts w:ascii="Calibri" w:eastAsia="Times" w:hAnsi="Calibri" w:cs="Calibri"/>
          <w:bCs/>
          <w:sz w:val="24"/>
          <w:szCs w:val="24"/>
          <w:lang w:val="en-AU"/>
        </w:rPr>
        <w:t xml:space="preserve"> </w:t>
      </w:r>
      <w:r w:rsidR="000744F7">
        <w:rPr>
          <w:rFonts w:ascii="Calibri" w:eastAsia="Times" w:hAnsi="Calibri" w:cs="Calibri"/>
          <w:bCs/>
          <w:sz w:val="24"/>
          <w:szCs w:val="24"/>
          <w:lang w:val="en-AU"/>
        </w:rPr>
        <w:t xml:space="preserve">unless the Board is satisfied that </w:t>
      </w:r>
      <w:r w:rsidR="000744F7" w:rsidRPr="00C823AD">
        <w:rPr>
          <w:rFonts w:ascii="Calibri" w:eastAsia="Times" w:hAnsi="Calibri" w:cs="Calibri"/>
          <w:bCs/>
          <w:i/>
          <w:iCs/>
          <w:sz w:val="24"/>
          <w:szCs w:val="24"/>
          <w:lang w:val="en-AU"/>
        </w:rPr>
        <w:t>“the complaint does not need to be pursued</w:t>
      </w:r>
      <w:r w:rsidR="000744F7">
        <w:rPr>
          <w:rFonts w:ascii="Calibri" w:eastAsia="Times" w:hAnsi="Calibri" w:cs="Calibri"/>
          <w:bCs/>
          <w:sz w:val="24"/>
          <w:szCs w:val="24"/>
          <w:lang w:val="en-AU"/>
        </w:rPr>
        <w:t>”.</w:t>
      </w:r>
      <w:r w:rsidR="000744F7">
        <w:rPr>
          <w:rStyle w:val="FootnoteReference"/>
          <w:rFonts w:ascii="Calibri" w:eastAsia="Times" w:hAnsi="Calibri" w:cs="Calibri"/>
          <w:bCs/>
          <w:sz w:val="24"/>
          <w:szCs w:val="24"/>
          <w:lang w:val="en-AU"/>
        </w:rPr>
        <w:footnoteReference w:id="19"/>
      </w:r>
      <w:r w:rsidR="008A093E">
        <w:rPr>
          <w:rFonts w:ascii="Calibri" w:eastAsia="Times" w:hAnsi="Calibri" w:cs="Calibri"/>
          <w:bCs/>
          <w:sz w:val="24"/>
          <w:szCs w:val="24"/>
          <w:lang w:val="en-AU"/>
        </w:rPr>
        <w:t xml:space="preserve"> </w:t>
      </w:r>
    </w:p>
    <w:p w14:paraId="78DF7CF3" w14:textId="6FBA4977" w:rsidR="00BA3105" w:rsidRDefault="00414AB4" w:rsidP="00BA3105">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One</w:t>
      </w:r>
      <w:r w:rsidR="008A093E">
        <w:rPr>
          <w:rFonts w:ascii="Calibri" w:eastAsia="Times" w:hAnsi="Calibri" w:cs="Calibri"/>
          <w:bCs/>
          <w:sz w:val="24"/>
          <w:szCs w:val="24"/>
          <w:lang w:val="en-AU"/>
        </w:rPr>
        <w:t xml:space="preserve"> reason why a complaint </w:t>
      </w:r>
      <w:r w:rsidR="005F0437">
        <w:rPr>
          <w:rFonts w:ascii="Calibri" w:eastAsia="Times" w:hAnsi="Calibri" w:cs="Calibri"/>
          <w:bCs/>
          <w:sz w:val="24"/>
          <w:szCs w:val="24"/>
          <w:lang w:val="en-AU"/>
        </w:rPr>
        <w:t>would</w:t>
      </w:r>
      <w:r w:rsidR="008A093E">
        <w:rPr>
          <w:rFonts w:ascii="Calibri" w:eastAsia="Times" w:hAnsi="Calibri" w:cs="Calibri"/>
          <w:bCs/>
          <w:sz w:val="24"/>
          <w:szCs w:val="24"/>
          <w:lang w:val="en-AU"/>
        </w:rPr>
        <w:t xml:space="preserve"> not need to be pursued is </w:t>
      </w:r>
      <w:r w:rsidR="002C3F0E">
        <w:rPr>
          <w:rFonts w:ascii="Calibri" w:eastAsia="Times" w:hAnsi="Calibri" w:cs="Calibri"/>
          <w:bCs/>
          <w:sz w:val="24"/>
          <w:szCs w:val="24"/>
          <w:lang w:val="en-AU"/>
        </w:rPr>
        <w:t xml:space="preserve">when </w:t>
      </w:r>
      <w:r w:rsidR="00C131A5">
        <w:rPr>
          <w:rFonts w:ascii="Calibri" w:eastAsia="Times" w:hAnsi="Calibri" w:cs="Calibri"/>
          <w:bCs/>
          <w:sz w:val="24"/>
          <w:szCs w:val="24"/>
          <w:lang w:val="en-AU"/>
        </w:rPr>
        <w:t>no</w:t>
      </w:r>
      <w:r w:rsidR="00287910">
        <w:rPr>
          <w:rFonts w:ascii="Calibri" w:eastAsia="Times" w:hAnsi="Calibri" w:cs="Calibri"/>
          <w:bCs/>
          <w:sz w:val="24"/>
          <w:szCs w:val="24"/>
          <w:lang w:val="en-AU"/>
        </w:rPr>
        <w:t xml:space="preserve"> reasonable</w:t>
      </w:r>
      <w:r w:rsidR="00B90311">
        <w:rPr>
          <w:rFonts w:ascii="Calibri" w:eastAsia="Times" w:hAnsi="Calibri" w:cs="Calibri"/>
          <w:bCs/>
          <w:sz w:val="24"/>
          <w:szCs w:val="24"/>
          <w:lang w:val="en-AU"/>
        </w:rPr>
        <w:t xml:space="preserve"> PCC could form the view that it has reason to believe that grounds exist entitling the Tribunal to exercise its powers under Part 4 of the Act</w:t>
      </w:r>
      <w:r>
        <w:rPr>
          <w:rFonts w:ascii="Calibri" w:eastAsia="Times" w:hAnsi="Calibri" w:cs="Calibri"/>
          <w:bCs/>
          <w:sz w:val="24"/>
          <w:szCs w:val="24"/>
          <w:lang w:val="en-AU"/>
        </w:rPr>
        <w:t>. Section 75(2)(</w:t>
      </w:r>
      <w:r w:rsidR="008D2AC4">
        <w:rPr>
          <w:rFonts w:ascii="Calibri" w:eastAsia="Times" w:hAnsi="Calibri" w:cs="Calibri"/>
          <w:bCs/>
          <w:sz w:val="24"/>
          <w:szCs w:val="24"/>
          <w:lang w:val="en-AU"/>
        </w:rPr>
        <w:t>a) requires a PCC to hold such a belief</w:t>
      </w:r>
      <w:r w:rsidR="00AA49F8">
        <w:rPr>
          <w:rFonts w:ascii="Calibri" w:eastAsia="Times" w:hAnsi="Calibri" w:cs="Calibri"/>
          <w:bCs/>
          <w:sz w:val="24"/>
          <w:szCs w:val="24"/>
          <w:lang w:val="en-AU"/>
        </w:rPr>
        <w:t xml:space="preserve"> </w:t>
      </w:r>
      <w:r w:rsidR="00CD4E07">
        <w:rPr>
          <w:rFonts w:ascii="Calibri" w:eastAsia="Times" w:hAnsi="Calibri" w:cs="Calibri"/>
          <w:bCs/>
          <w:sz w:val="24"/>
          <w:szCs w:val="24"/>
          <w:lang w:val="en-AU"/>
        </w:rPr>
        <w:t xml:space="preserve">for </w:t>
      </w:r>
      <w:r w:rsidR="00AA49F8">
        <w:rPr>
          <w:rFonts w:ascii="Calibri" w:eastAsia="Times" w:hAnsi="Calibri" w:cs="Calibri"/>
          <w:bCs/>
          <w:sz w:val="24"/>
          <w:szCs w:val="24"/>
          <w:lang w:val="en-AU"/>
        </w:rPr>
        <w:t>a charge</w:t>
      </w:r>
      <w:r w:rsidR="00CD4E07">
        <w:rPr>
          <w:rFonts w:ascii="Calibri" w:eastAsia="Times" w:hAnsi="Calibri" w:cs="Calibri"/>
          <w:bCs/>
          <w:sz w:val="24"/>
          <w:szCs w:val="24"/>
          <w:lang w:val="en-AU"/>
        </w:rPr>
        <w:t xml:space="preserve"> to be laid</w:t>
      </w:r>
      <w:r w:rsidR="00AA49F8">
        <w:rPr>
          <w:rFonts w:ascii="Calibri" w:eastAsia="Times" w:hAnsi="Calibri" w:cs="Calibri"/>
          <w:bCs/>
          <w:sz w:val="24"/>
          <w:szCs w:val="24"/>
          <w:lang w:val="en-AU"/>
        </w:rPr>
        <w:t xml:space="preserve"> </w:t>
      </w:r>
      <w:r w:rsidR="00CD4E07">
        <w:rPr>
          <w:rFonts w:ascii="Calibri" w:eastAsia="Times" w:hAnsi="Calibri" w:cs="Calibri"/>
          <w:bCs/>
          <w:sz w:val="24"/>
          <w:szCs w:val="24"/>
          <w:lang w:val="en-AU"/>
        </w:rPr>
        <w:t>in</w:t>
      </w:r>
      <w:r w:rsidR="00AA49F8">
        <w:rPr>
          <w:rFonts w:ascii="Calibri" w:eastAsia="Times" w:hAnsi="Calibri" w:cs="Calibri"/>
          <w:bCs/>
          <w:sz w:val="24"/>
          <w:szCs w:val="24"/>
          <w:lang w:val="en-AU"/>
        </w:rPr>
        <w:t xml:space="preserve"> the Tribunal</w:t>
      </w:r>
      <w:r w:rsidR="00B90311">
        <w:rPr>
          <w:rFonts w:ascii="Calibri" w:eastAsia="Times" w:hAnsi="Calibri" w:cs="Calibri"/>
          <w:bCs/>
          <w:sz w:val="24"/>
          <w:szCs w:val="24"/>
          <w:lang w:val="en-AU"/>
        </w:rPr>
        <w:t>.</w:t>
      </w:r>
      <w:r w:rsidR="00BC0AA3">
        <w:rPr>
          <w:rFonts w:ascii="Calibri" w:eastAsia="Times" w:hAnsi="Calibri" w:cs="Calibri"/>
          <w:bCs/>
          <w:sz w:val="24"/>
          <w:szCs w:val="24"/>
          <w:lang w:val="en-AU"/>
        </w:rPr>
        <w:t xml:space="preserve"> </w:t>
      </w:r>
      <w:r w:rsidR="007A0CBE">
        <w:rPr>
          <w:rFonts w:ascii="Calibri" w:eastAsia="Times" w:hAnsi="Calibri" w:cs="Calibri"/>
          <w:bCs/>
          <w:sz w:val="24"/>
          <w:szCs w:val="24"/>
          <w:lang w:val="en-AU"/>
        </w:rPr>
        <w:t>If the conduct complained about could not reasonably amount to one of the disciplinary offences in section 8</w:t>
      </w:r>
      <w:r w:rsidR="008A7C19">
        <w:rPr>
          <w:rFonts w:ascii="Calibri" w:eastAsia="Times" w:hAnsi="Calibri" w:cs="Calibri"/>
          <w:bCs/>
          <w:sz w:val="24"/>
          <w:szCs w:val="24"/>
          <w:lang w:val="en-AU"/>
        </w:rPr>
        <w:t>2</w:t>
      </w:r>
      <w:r w:rsidR="007A0CBE">
        <w:rPr>
          <w:rFonts w:ascii="Calibri" w:eastAsia="Times" w:hAnsi="Calibri" w:cs="Calibri"/>
          <w:bCs/>
          <w:sz w:val="24"/>
          <w:szCs w:val="24"/>
          <w:lang w:val="en-AU"/>
        </w:rPr>
        <w:t xml:space="preserve"> then</w:t>
      </w:r>
      <w:r w:rsidR="007C4D6F">
        <w:rPr>
          <w:rFonts w:ascii="Calibri" w:eastAsia="Times" w:hAnsi="Calibri" w:cs="Calibri"/>
          <w:bCs/>
          <w:sz w:val="24"/>
          <w:szCs w:val="24"/>
          <w:lang w:val="en-AU"/>
        </w:rPr>
        <w:t xml:space="preserve"> </w:t>
      </w:r>
      <w:r w:rsidR="00CD4E07">
        <w:rPr>
          <w:rFonts w:ascii="Calibri" w:eastAsia="Times" w:hAnsi="Calibri" w:cs="Calibri"/>
          <w:bCs/>
          <w:sz w:val="24"/>
          <w:szCs w:val="24"/>
          <w:lang w:val="en-AU"/>
        </w:rPr>
        <w:t xml:space="preserve">it follows that </w:t>
      </w:r>
      <w:r w:rsidR="007C4D6F">
        <w:rPr>
          <w:rFonts w:ascii="Calibri" w:eastAsia="Times" w:hAnsi="Calibri" w:cs="Calibri"/>
          <w:bCs/>
          <w:sz w:val="24"/>
          <w:szCs w:val="24"/>
          <w:lang w:val="en-AU"/>
        </w:rPr>
        <w:t>there would not be grounds</w:t>
      </w:r>
      <w:r w:rsidR="004E697C">
        <w:rPr>
          <w:rFonts w:ascii="Calibri" w:eastAsia="Times" w:hAnsi="Calibri" w:cs="Calibri"/>
          <w:bCs/>
          <w:sz w:val="24"/>
          <w:szCs w:val="24"/>
          <w:lang w:val="en-AU"/>
        </w:rPr>
        <w:t xml:space="preserve"> existing</w:t>
      </w:r>
      <w:r w:rsidR="007C4D6F">
        <w:rPr>
          <w:rFonts w:ascii="Calibri" w:eastAsia="Times" w:hAnsi="Calibri" w:cs="Calibri"/>
          <w:bCs/>
          <w:sz w:val="24"/>
          <w:szCs w:val="24"/>
          <w:lang w:val="en-AU"/>
        </w:rPr>
        <w:t xml:space="preserve"> entitling the Tribunal to exercise its disciplinary powers. </w:t>
      </w:r>
      <w:r w:rsidR="00FE5380">
        <w:rPr>
          <w:rFonts w:ascii="Calibri" w:eastAsia="Times" w:hAnsi="Calibri" w:cs="Calibri"/>
          <w:bCs/>
          <w:sz w:val="24"/>
          <w:szCs w:val="24"/>
          <w:lang w:val="en-AU"/>
        </w:rPr>
        <w:t>More is said about that matter below.</w:t>
      </w:r>
    </w:p>
    <w:p w14:paraId="6840C358" w14:textId="111B8D2D" w:rsidR="0000380A" w:rsidRDefault="00237D29" w:rsidP="0000143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The submission for the PCC was that the Tribunal’s jurisdiction to exercise its disciplinary powers and functions is triggered when the complaint which led to the charge that has been laid, is made. The Tribunal d</w:t>
      </w:r>
      <w:r w:rsidR="008D2AC4">
        <w:rPr>
          <w:rFonts w:ascii="Calibri" w:eastAsia="Times" w:hAnsi="Calibri" w:cs="Calibri"/>
          <w:bCs/>
          <w:sz w:val="24"/>
          <w:szCs w:val="24"/>
          <w:lang w:val="en-AU"/>
        </w:rPr>
        <w:t>oes</w:t>
      </w:r>
      <w:r>
        <w:rPr>
          <w:rFonts w:ascii="Calibri" w:eastAsia="Times" w:hAnsi="Calibri" w:cs="Calibri"/>
          <w:bCs/>
          <w:sz w:val="24"/>
          <w:szCs w:val="24"/>
          <w:lang w:val="en-AU"/>
        </w:rPr>
        <w:t xml:space="preserve"> not accept that submission. The sections of the SWR Act relating to the Tribunal’s functions and powers make no reference to a “complaint”.  While a “complaint” gives the Board the power to establish a professional conduct committee (to investigate the complaint)</w:t>
      </w:r>
      <w:r>
        <w:rPr>
          <w:rStyle w:val="FootnoteReference"/>
          <w:rFonts w:ascii="Calibri" w:eastAsia="Times" w:hAnsi="Calibri" w:cs="Calibri"/>
          <w:bCs/>
          <w:sz w:val="24"/>
          <w:szCs w:val="24"/>
          <w:lang w:val="en-AU"/>
        </w:rPr>
        <w:footnoteReference w:id="20"/>
      </w:r>
      <w:r>
        <w:rPr>
          <w:rFonts w:ascii="Calibri" w:eastAsia="Times" w:hAnsi="Calibri" w:cs="Calibri"/>
          <w:bCs/>
          <w:sz w:val="24"/>
          <w:szCs w:val="24"/>
          <w:lang w:val="en-AU"/>
        </w:rPr>
        <w:t xml:space="preserve">, </w:t>
      </w:r>
      <w:r w:rsidR="00997F45">
        <w:rPr>
          <w:rFonts w:ascii="Calibri" w:eastAsia="Times" w:hAnsi="Calibri" w:cs="Calibri"/>
          <w:bCs/>
          <w:sz w:val="24"/>
          <w:szCs w:val="24"/>
          <w:lang w:val="en-AU"/>
        </w:rPr>
        <w:t>and one of the determinations that may be made by the PCC is to “</w:t>
      </w:r>
      <w:r w:rsidR="00997F45" w:rsidRPr="00997F45">
        <w:rPr>
          <w:rFonts w:ascii="Calibri" w:eastAsia="Times" w:hAnsi="Calibri" w:cs="Calibri"/>
          <w:bCs/>
          <w:i/>
          <w:iCs/>
          <w:sz w:val="24"/>
          <w:szCs w:val="24"/>
          <w:lang w:val="en-AU"/>
        </w:rPr>
        <w:t>submit the complaint or conviction to the Tribunal”</w:t>
      </w:r>
      <w:r w:rsidR="00997F45">
        <w:rPr>
          <w:rStyle w:val="FootnoteReference"/>
          <w:rFonts w:ascii="Calibri" w:eastAsia="Times" w:hAnsi="Calibri" w:cs="Calibri"/>
          <w:bCs/>
          <w:i/>
          <w:iCs/>
          <w:sz w:val="24"/>
          <w:szCs w:val="24"/>
          <w:lang w:val="en-AU"/>
        </w:rPr>
        <w:footnoteReference w:id="21"/>
      </w:r>
      <w:r w:rsidR="00997F45">
        <w:rPr>
          <w:rFonts w:ascii="Calibri" w:eastAsia="Times" w:hAnsi="Calibri" w:cs="Calibri"/>
          <w:bCs/>
          <w:sz w:val="24"/>
          <w:szCs w:val="24"/>
          <w:lang w:val="en-AU"/>
        </w:rPr>
        <w:t xml:space="preserve">, </w:t>
      </w:r>
      <w:r>
        <w:rPr>
          <w:rFonts w:ascii="Calibri" w:eastAsia="Times" w:hAnsi="Calibri" w:cs="Calibri"/>
          <w:bCs/>
          <w:sz w:val="24"/>
          <w:szCs w:val="24"/>
          <w:lang w:val="en-AU"/>
        </w:rPr>
        <w:t xml:space="preserve">the Tribunal’s jurisdiction is triggered by a charge, properly brought on the basis that the PCC (or the Director of Proceedings) has reason to believe that grounds exist </w:t>
      </w:r>
      <w:r>
        <w:rPr>
          <w:rFonts w:ascii="Calibri" w:eastAsia="Times" w:hAnsi="Calibri" w:cs="Calibri"/>
          <w:bCs/>
          <w:sz w:val="24"/>
          <w:szCs w:val="24"/>
          <w:lang w:val="en-AU"/>
        </w:rPr>
        <w:lastRenderedPageBreak/>
        <w:t xml:space="preserve">entitling the Tribunal to exercise its powers under </w:t>
      </w:r>
      <w:r w:rsidR="00CF6A87">
        <w:rPr>
          <w:rFonts w:ascii="Calibri" w:eastAsia="Times" w:hAnsi="Calibri" w:cs="Calibri"/>
          <w:bCs/>
          <w:sz w:val="24"/>
          <w:szCs w:val="24"/>
          <w:lang w:val="en-AU"/>
        </w:rPr>
        <w:t xml:space="preserve">Part 4 of </w:t>
      </w:r>
      <w:r>
        <w:rPr>
          <w:rFonts w:ascii="Calibri" w:eastAsia="Times" w:hAnsi="Calibri" w:cs="Calibri"/>
          <w:bCs/>
          <w:sz w:val="24"/>
          <w:szCs w:val="24"/>
          <w:lang w:val="en-AU"/>
        </w:rPr>
        <w:t>the Act</w:t>
      </w:r>
      <w:r>
        <w:rPr>
          <w:rStyle w:val="FootnoteReference"/>
          <w:rFonts w:ascii="Calibri" w:eastAsia="Times" w:hAnsi="Calibri" w:cs="Calibri"/>
          <w:bCs/>
          <w:sz w:val="24"/>
          <w:szCs w:val="24"/>
          <w:lang w:val="en-AU"/>
        </w:rPr>
        <w:footnoteReference w:id="22"/>
      </w:r>
      <w:r>
        <w:rPr>
          <w:rFonts w:ascii="Calibri" w:eastAsia="Times" w:hAnsi="Calibri" w:cs="Calibri"/>
          <w:bCs/>
          <w:sz w:val="24"/>
          <w:szCs w:val="24"/>
          <w:lang w:val="en-AU"/>
        </w:rPr>
        <w:t xml:space="preserve">. </w:t>
      </w:r>
      <w:r w:rsidR="00D650F0">
        <w:rPr>
          <w:rFonts w:ascii="Calibri" w:eastAsia="Times" w:hAnsi="Calibri" w:cs="Calibri"/>
          <w:bCs/>
          <w:sz w:val="24"/>
          <w:szCs w:val="24"/>
          <w:lang w:val="en-AU"/>
        </w:rPr>
        <w:t xml:space="preserve"> </w:t>
      </w:r>
      <w:r w:rsidR="00FC60E1">
        <w:rPr>
          <w:rFonts w:ascii="Calibri" w:eastAsia="Times" w:hAnsi="Calibri" w:cs="Calibri"/>
          <w:bCs/>
          <w:sz w:val="24"/>
          <w:szCs w:val="24"/>
          <w:lang w:val="en-AU"/>
        </w:rPr>
        <w:t>A</w:t>
      </w:r>
      <w:r w:rsidR="00D650F0">
        <w:rPr>
          <w:rFonts w:ascii="Calibri" w:eastAsia="Times" w:hAnsi="Calibri" w:cs="Calibri"/>
          <w:bCs/>
          <w:sz w:val="24"/>
          <w:szCs w:val="24"/>
          <w:lang w:val="en-AU"/>
        </w:rPr>
        <w:t xml:space="preserve"> PCC could not reasonably </w:t>
      </w:r>
      <w:r w:rsidR="009D2684">
        <w:rPr>
          <w:rFonts w:ascii="Calibri" w:eastAsia="Times" w:hAnsi="Calibri" w:cs="Calibri"/>
          <w:bCs/>
          <w:sz w:val="24"/>
          <w:szCs w:val="24"/>
          <w:lang w:val="en-AU"/>
        </w:rPr>
        <w:t>form</w:t>
      </w:r>
      <w:r w:rsidR="00D650F0">
        <w:rPr>
          <w:rFonts w:ascii="Calibri" w:eastAsia="Times" w:hAnsi="Calibri" w:cs="Calibri"/>
          <w:bCs/>
          <w:sz w:val="24"/>
          <w:szCs w:val="24"/>
          <w:lang w:val="en-AU"/>
        </w:rPr>
        <w:t xml:space="preserve"> the belief that grounds exist</w:t>
      </w:r>
      <w:r w:rsidR="009B3C79">
        <w:rPr>
          <w:rFonts w:ascii="Calibri" w:eastAsia="Times" w:hAnsi="Calibri" w:cs="Calibri"/>
          <w:bCs/>
          <w:sz w:val="24"/>
          <w:szCs w:val="24"/>
          <w:lang w:val="en-AU"/>
        </w:rPr>
        <w:t xml:space="preserve"> entitling the Tribunal to exercise its powers</w:t>
      </w:r>
      <w:r w:rsidR="009D2684">
        <w:rPr>
          <w:rFonts w:ascii="Calibri" w:eastAsia="Times" w:hAnsi="Calibri" w:cs="Calibri"/>
          <w:bCs/>
          <w:sz w:val="24"/>
          <w:szCs w:val="24"/>
          <w:lang w:val="en-AU"/>
        </w:rPr>
        <w:t>,</w:t>
      </w:r>
      <w:r w:rsidR="009B3C79">
        <w:rPr>
          <w:rFonts w:ascii="Calibri" w:eastAsia="Times" w:hAnsi="Calibri" w:cs="Calibri"/>
          <w:bCs/>
          <w:sz w:val="24"/>
          <w:szCs w:val="24"/>
          <w:lang w:val="en-AU"/>
        </w:rPr>
        <w:t xml:space="preserve"> if the conduct could not amount to one of the grounds on which </w:t>
      </w:r>
      <w:r w:rsidR="00A12947">
        <w:rPr>
          <w:rFonts w:ascii="Calibri" w:eastAsia="Times" w:hAnsi="Calibri" w:cs="Calibri"/>
          <w:bCs/>
          <w:sz w:val="24"/>
          <w:szCs w:val="24"/>
          <w:lang w:val="en-AU"/>
        </w:rPr>
        <w:t>the Tribunal may make an order under section</w:t>
      </w:r>
      <w:r w:rsidR="00573098">
        <w:rPr>
          <w:rFonts w:ascii="Calibri" w:eastAsia="Times" w:hAnsi="Calibri" w:cs="Calibri"/>
          <w:bCs/>
          <w:sz w:val="24"/>
          <w:szCs w:val="24"/>
          <w:lang w:val="en-AU"/>
        </w:rPr>
        <w:t xml:space="preserve"> 82.</w:t>
      </w:r>
      <w:r w:rsidR="00573098">
        <w:rPr>
          <w:rStyle w:val="FootnoteReference"/>
          <w:rFonts w:ascii="Calibri" w:eastAsia="Times" w:hAnsi="Calibri" w:cs="Calibri"/>
          <w:bCs/>
          <w:sz w:val="24"/>
          <w:szCs w:val="24"/>
          <w:lang w:val="en-AU"/>
        </w:rPr>
        <w:footnoteReference w:id="23"/>
      </w:r>
      <w:r w:rsidR="0000143D" w:rsidRPr="0000143D">
        <w:rPr>
          <w:rFonts w:ascii="Calibri" w:eastAsia="Times" w:hAnsi="Calibri" w:cs="Calibri"/>
          <w:bCs/>
          <w:sz w:val="24"/>
          <w:szCs w:val="24"/>
          <w:lang w:val="en-AU"/>
        </w:rPr>
        <w:t xml:space="preserve"> </w:t>
      </w:r>
    </w:p>
    <w:p w14:paraId="75060181" w14:textId="1D0B25E9" w:rsidR="008A7C19" w:rsidRDefault="006F590D" w:rsidP="006F590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For the reasons set out below</w:t>
      </w:r>
      <w:r w:rsidR="001712C8">
        <w:rPr>
          <w:rFonts w:ascii="Calibri" w:eastAsia="Times" w:hAnsi="Calibri" w:cs="Calibri"/>
          <w:bCs/>
          <w:sz w:val="24"/>
          <w:szCs w:val="24"/>
          <w:lang w:val="en-AU"/>
        </w:rPr>
        <w:t>,</w:t>
      </w:r>
      <w:r>
        <w:rPr>
          <w:rFonts w:ascii="Calibri" w:eastAsia="Times" w:hAnsi="Calibri" w:cs="Calibri"/>
          <w:bCs/>
          <w:sz w:val="24"/>
          <w:szCs w:val="24"/>
          <w:lang w:val="en-AU"/>
        </w:rPr>
        <w:t xml:space="preserve"> t</w:t>
      </w:r>
      <w:r w:rsidR="0000143D">
        <w:rPr>
          <w:rFonts w:ascii="Calibri" w:eastAsia="Times" w:hAnsi="Calibri" w:cs="Calibri"/>
          <w:bCs/>
          <w:sz w:val="24"/>
          <w:szCs w:val="24"/>
          <w:lang w:val="en-AU"/>
        </w:rPr>
        <w:t xml:space="preserve">he Tribunal considers that </w:t>
      </w:r>
      <w:r w:rsidR="006B7D9F">
        <w:rPr>
          <w:rFonts w:ascii="Calibri" w:eastAsia="Times" w:hAnsi="Calibri" w:cs="Calibri"/>
          <w:bCs/>
          <w:sz w:val="24"/>
          <w:szCs w:val="24"/>
          <w:lang w:val="en-AU"/>
        </w:rPr>
        <w:t xml:space="preserve">misconduct by a social worker that is alleged to have occurred </w:t>
      </w:r>
      <w:r w:rsidR="00372363">
        <w:rPr>
          <w:rFonts w:ascii="Calibri" w:eastAsia="Times" w:hAnsi="Calibri" w:cs="Calibri"/>
          <w:bCs/>
          <w:sz w:val="24"/>
          <w:szCs w:val="24"/>
          <w:lang w:val="en-AU"/>
        </w:rPr>
        <w:t xml:space="preserve">entirely and </w:t>
      </w:r>
      <w:r w:rsidR="006B7D9F">
        <w:rPr>
          <w:rFonts w:ascii="Calibri" w:eastAsia="Times" w:hAnsi="Calibri" w:cs="Calibri"/>
          <w:bCs/>
          <w:sz w:val="24"/>
          <w:szCs w:val="24"/>
          <w:lang w:val="en-AU"/>
        </w:rPr>
        <w:t>exclusively prior to his or her registration</w:t>
      </w:r>
      <w:r w:rsidR="00335E66">
        <w:rPr>
          <w:rFonts w:ascii="Calibri" w:eastAsia="Times" w:hAnsi="Calibri" w:cs="Calibri"/>
          <w:bCs/>
          <w:sz w:val="24"/>
          <w:szCs w:val="24"/>
          <w:lang w:val="en-AU"/>
        </w:rPr>
        <w:t xml:space="preserve"> under the Act</w:t>
      </w:r>
      <w:r w:rsidR="0000143D">
        <w:rPr>
          <w:rFonts w:ascii="Calibri" w:eastAsia="Times" w:hAnsi="Calibri" w:cs="Calibri"/>
          <w:bCs/>
          <w:sz w:val="24"/>
          <w:szCs w:val="24"/>
          <w:lang w:val="en-AU"/>
        </w:rPr>
        <w:t xml:space="preserve"> could n</w:t>
      </w:r>
      <w:r w:rsidR="00335E66">
        <w:rPr>
          <w:rFonts w:ascii="Calibri" w:eastAsia="Times" w:hAnsi="Calibri" w:cs="Calibri"/>
          <w:bCs/>
          <w:sz w:val="24"/>
          <w:szCs w:val="24"/>
          <w:lang w:val="en-AU"/>
        </w:rPr>
        <w:t>ot</w:t>
      </w:r>
      <w:r w:rsidR="0000143D">
        <w:rPr>
          <w:rFonts w:ascii="Calibri" w:eastAsia="Times" w:hAnsi="Calibri" w:cs="Calibri"/>
          <w:bCs/>
          <w:sz w:val="24"/>
          <w:szCs w:val="24"/>
          <w:lang w:val="en-AU"/>
        </w:rPr>
        <w:t xml:space="preserve"> amount to a disciplinary offence for the purposes of section 82(1)(a) or (b). </w:t>
      </w:r>
      <w:r>
        <w:rPr>
          <w:rFonts w:ascii="Calibri" w:eastAsia="Times" w:hAnsi="Calibri" w:cs="Calibri"/>
          <w:bCs/>
          <w:sz w:val="24"/>
          <w:szCs w:val="24"/>
          <w:lang w:val="en-AU"/>
        </w:rPr>
        <w:t>The Tribunal’s view is that the onl</w:t>
      </w:r>
      <w:r w:rsidR="001D1B0B">
        <w:rPr>
          <w:rFonts w:ascii="Calibri" w:eastAsia="Times" w:hAnsi="Calibri" w:cs="Calibri"/>
          <w:bCs/>
          <w:sz w:val="24"/>
          <w:szCs w:val="24"/>
          <w:lang w:val="en-AU"/>
        </w:rPr>
        <w:t>y</w:t>
      </w:r>
      <w:r>
        <w:rPr>
          <w:rFonts w:ascii="Calibri" w:eastAsia="Times" w:hAnsi="Calibri" w:cs="Calibri"/>
          <w:bCs/>
          <w:sz w:val="24"/>
          <w:szCs w:val="24"/>
          <w:lang w:val="en-AU"/>
        </w:rPr>
        <w:t xml:space="preserve"> conduct that</w:t>
      </w:r>
      <w:r w:rsidR="001D1B0B">
        <w:rPr>
          <w:rFonts w:ascii="Calibri" w:eastAsia="Times" w:hAnsi="Calibri" w:cs="Calibri"/>
          <w:bCs/>
          <w:sz w:val="24"/>
          <w:szCs w:val="24"/>
          <w:lang w:val="en-AU"/>
        </w:rPr>
        <w:t xml:space="preserve"> occurred </w:t>
      </w:r>
      <w:r w:rsidR="00372363">
        <w:rPr>
          <w:rFonts w:ascii="Calibri" w:eastAsia="Times" w:hAnsi="Calibri" w:cs="Calibri"/>
          <w:bCs/>
          <w:sz w:val="24"/>
          <w:szCs w:val="24"/>
          <w:lang w:val="en-AU"/>
        </w:rPr>
        <w:t xml:space="preserve">entirely and </w:t>
      </w:r>
      <w:r w:rsidR="001D1B0B">
        <w:rPr>
          <w:rFonts w:ascii="Calibri" w:eastAsia="Times" w:hAnsi="Calibri" w:cs="Calibri"/>
          <w:bCs/>
          <w:sz w:val="24"/>
          <w:szCs w:val="24"/>
          <w:lang w:val="en-AU"/>
        </w:rPr>
        <w:t xml:space="preserve">exclusively prior to a social worker’s registration that </w:t>
      </w:r>
      <w:r>
        <w:rPr>
          <w:rFonts w:ascii="Calibri" w:eastAsia="Times" w:hAnsi="Calibri" w:cs="Calibri"/>
          <w:bCs/>
          <w:sz w:val="24"/>
          <w:szCs w:val="24"/>
          <w:lang w:val="en-AU"/>
        </w:rPr>
        <w:t xml:space="preserve">can be </w:t>
      </w:r>
      <w:r w:rsidR="001D1B0B">
        <w:rPr>
          <w:rFonts w:ascii="Calibri" w:eastAsia="Times" w:hAnsi="Calibri" w:cs="Calibri"/>
          <w:bCs/>
          <w:sz w:val="24"/>
          <w:szCs w:val="24"/>
          <w:lang w:val="en-AU"/>
        </w:rPr>
        <w:t>reviewed</w:t>
      </w:r>
      <w:r>
        <w:rPr>
          <w:rFonts w:ascii="Calibri" w:eastAsia="Times" w:hAnsi="Calibri" w:cs="Calibri"/>
          <w:bCs/>
          <w:sz w:val="24"/>
          <w:szCs w:val="24"/>
          <w:lang w:val="en-AU"/>
        </w:rPr>
        <w:t xml:space="preserve"> by the Tribunal is where the practitioner </w:t>
      </w:r>
      <w:r w:rsidR="006A287A">
        <w:rPr>
          <w:rFonts w:ascii="Calibri" w:eastAsia="Times" w:hAnsi="Calibri" w:cs="Calibri"/>
          <w:bCs/>
          <w:sz w:val="24"/>
          <w:szCs w:val="24"/>
          <w:lang w:val="en-AU"/>
        </w:rPr>
        <w:t>has been</w:t>
      </w:r>
      <w:r>
        <w:rPr>
          <w:rFonts w:ascii="Calibri" w:eastAsia="Times" w:hAnsi="Calibri" w:cs="Calibri"/>
          <w:bCs/>
          <w:sz w:val="24"/>
          <w:szCs w:val="24"/>
          <w:lang w:val="en-AU"/>
        </w:rPr>
        <w:t xml:space="preserve"> convicted </w:t>
      </w:r>
      <w:r w:rsidR="006A287A">
        <w:rPr>
          <w:rFonts w:ascii="Calibri" w:eastAsia="Times" w:hAnsi="Calibri" w:cs="Calibri"/>
          <w:bCs/>
          <w:sz w:val="24"/>
          <w:szCs w:val="24"/>
          <w:lang w:val="en-AU"/>
        </w:rPr>
        <w:t xml:space="preserve">by a court </w:t>
      </w:r>
      <w:r>
        <w:rPr>
          <w:rFonts w:ascii="Calibri" w:eastAsia="Times" w:hAnsi="Calibri" w:cs="Calibri"/>
          <w:bCs/>
          <w:sz w:val="24"/>
          <w:szCs w:val="24"/>
          <w:lang w:val="en-AU"/>
        </w:rPr>
        <w:t>of an offence</w:t>
      </w:r>
      <w:r w:rsidR="00FE7ABB">
        <w:rPr>
          <w:rFonts w:ascii="Calibri" w:eastAsia="Times" w:hAnsi="Calibri" w:cs="Calibri"/>
          <w:bCs/>
          <w:sz w:val="24"/>
          <w:szCs w:val="24"/>
          <w:lang w:val="en-AU"/>
        </w:rPr>
        <w:t xml:space="preserve"> (subsequent to registration)</w:t>
      </w:r>
      <w:r>
        <w:rPr>
          <w:rFonts w:ascii="Calibri" w:eastAsia="Times" w:hAnsi="Calibri" w:cs="Calibri"/>
          <w:bCs/>
          <w:sz w:val="24"/>
          <w:szCs w:val="24"/>
          <w:lang w:val="en-AU"/>
        </w:rPr>
        <w:t xml:space="preserve"> in respect of that conduct</w:t>
      </w:r>
      <w:r w:rsidR="00B22790">
        <w:rPr>
          <w:rFonts w:ascii="Calibri" w:eastAsia="Times" w:hAnsi="Calibri" w:cs="Calibri"/>
          <w:bCs/>
          <w:sz w:val="24"/>
          <w:szCs w:val="24"/>
          <w:lang w:val="en-AU"/>
        </w:rPr>
        <w:t xml:space="preserve"> </w:t>
      </w:r>
      <w:r w:rsidR="009D1C6B">
        <w:rPr>
          <w:rFonts w:ascii="Calibri" w:eastAsia="Times" w:hAnsi="Calibri" w:cs="Calibri"/>
          <w:bCs/>
          <w:sz w:val="24"/>
          <w:szCs w:val="24"/>
          <w:lang w:val="en-AU"/>
        </w:rPr>
        <w:t>and where it is alleged</w:t>
      </w:r>
      <w:r w:rsidR="001947AE">
        <w:rPr>
          <w:rFonts w:ascii="Calibri" w:eastAsia="Times" w:hAnsi="Calibri" w:cs="Calibri"/>
          <w:bCs/>
          <w:sz w:val="24"/>
          <w:szCs w:val="24"/>
          <w:lang w:val="en-AU"/>
        </w:rPr>
        <w:t xml:space="preserve"> that the offending that led to the conviction</w:t>
      </w:r>
      <w:r w:rsidR="00B22790">
        <w:rPr>
          <w:rFonts w:ascii="Calibri" w:eastAsia="Times" w:hAnsi="Calibri" w:cs="Calibri"/>
          <w:bCs/>
          <w:sz w:val="24"/>
          <w:szCs w:val="24"/>
          <w:lang w:val="en-AU"/>
        </w:rPr>
        <w:t xml:space="preserve"> </w:t>
      </w:r>
      <w:r w:rsidR="001947AE">
        <w:rPr>
          <w:rFonts w:ascii="Calibri" w:eastAsia="Times" w:hAnsi="Calibri" w:cs="Calibri"/>
          <w:bCs/>
          <w:sz w:val="24"/>
          <w:szCs w:val="24"/>
          <w:lang w:val="en-AU"/>
        </w:rPr>
        <w:t>was</w:t>
      </w:r>
      <w:r w:rsidR="00B22790">
        <w:rPr>
          <w:rFonts w:ascii="Calibri" w:eastAsia="Times" w:hAnsi="Calibri" w:cs="Calibri"/>
          <w:bCs/>
          <w:sz w:val="24"/>
          <w:szCs w:val="24"/>
          <w:lang w:val="en-AU"/>
        </w:rPr>
        <w:t xml:space="preserve"> committed in circumstances that reflect adversely o</w:t>
      </w:r>
      <w:r w:rsidR="001E3F3E">
        <w:rPr>
          <w:rFonts w:ascii="Calibri" w:eastAsia="Times" w:hAnsi="Calibri" w:cs="Calibri"/>
          <w:bCs/>
          <w:sz w:val="24"/>
          <w:szCs w:val="24"/>
          <w:lang w:val="en-AU"/>
        </w:rPr>
        <w:t xml:space="preserve">n the </w:t>
      </w:r>
      <w:r w:rsidR="001E3F3E">
        <w:rPr>
          <w:rFonts w:ascii="Calibri" w:eastAsia="Times" w:hAnsi="Calibri" w:cs="Calibri"/>
          <w:bCs/>
          <w:i/>
          <w:iCs/>
          <w:sz w:val="24"/>
          <w:szCs w:val="24"/>
          <w:lang w:val="en-AU"/>
        </w:rPr>
        <w:t xml:space="preserve">“social worker’s” </w:t>
      </w:r>
      <w:r w:rsidR="006A287A">
        <w:rPr>
          <w:rFonts w:ascii="Calibri" w:eastAsia="Times" w:hAnsi="Calibri" w:cs="Calibri"/>
          <w:bCs/>
          <w:sz w:val="24"/>
          <w:szCs w:val="24"/>
          <w:lang w:val="en-AU"/>
        </w:rPr>
        <w:t>fitness</w:t>
      </w:r>
      <w:r w:rsidR="00B22790">
        <w:rPr>
          <w:rFonts w:ascii="Calibri" w:eastAsia="Times" w:hAnsi="Calibri" w:cs="Calibri"/>
          <w:bCs/>
          <w:sz w:val="24"/>
          <w:szCs w:val="24"/>
          <w:lang w:val="en-AU"/>
        </w:rPr>
        <w:t xml:space="preserve"> to practise as a social worker</w:t>
      </w:r>
      <w:r w:rsidR="009D1C6B">
        <w:rPr>
          <w:rFonts w:ascii="Calibri" w:eastAsia="Times" w:hAnsi="Calibri" w:cs="Calibri"/>
          <w:bCs/>
          <w:sz w:val="24"/>
          <w:szCs w:val="24"/>
          <w:lang w:val="en-AU"/>
        </w:rPr>
        <w:t>.</w:t>
      </w:r>
      <w:r>
        <w:rPr>
          <w:rFonts w:ascii="Calibri" w:eastAsia="Times" w:hAnsi="Calibri" w:cs="Calibri"/>
          <w:bCs/>
          <w:sz w:val="24"/>
          <w:szCs w:val="24"/>
          <w:lang w:val="en-AU"/>
        </w:rPr>
        <w:t xml:space="preserve"> </w:t>
      </w:r>
      <w:r w:rsidR="00590942">
        <w:rPr>
          <w:rFonts w:ascii="Calibri" w:eastAsia="Times" w:hAnsi="Calibri" w:cs="Calibri"/>
          <w:bCs/>
          <w:sz w:val="24"/>
          <w:szCs w:val="24"/>
          <w:lang w:val="en-AU"/>
        </w:rPr>
        <w:t>This is the offence set out in section 82(</w:t>
      </w:r>
      <w:r w:rsidR="000C65CC">
        <w:rPr>
          <w:rFonts w:ascii="Calibri" w:eastAsia="Times" w:hAnsi="Calibri" w:cs="Calibri"/>
          <w:bCs/>
          <w:sz w:val="24"/>
          <w:szCs w:val="24"/>
          <w:lang w:val="en-AU"/>
        </w:rPr>
        <w:t>1)(c).</w:t>
      </w:r>
    </w:p>
    <w:p w14:paraId="1CE837B1" w14:textId="77777777" w:rsidR="006F590D" w:rsidRPr="006F590D" w:rsidRDefault="006F590D" w:rsidP="00752F56">
      <w:pPr>
        <w:tabs>
          <w:tab w:val="left" w:pos="567"/>
        </w:tabs>
        <w:spacing w:after="0" w:line="360" w:lineRule="auto"/>
        <w:jc w:val="both"/>
        <w:rPr>
          <w:rFonts w:ascii="Calibri" w:eastAsia="Times" w:hAnsi="Calibri" w:cs="Calibri"/>
          <w:bCs/>
          <w:sz w:val="24"/>
          <w:szCs w:val="24"/>
          <w:lang w:val="en-AU"/>
        </w:rPr>
      </w:pPr>
    </w:p>
    <w:p w14:paraId="59327D57" w14:textId="5A3CAD11" w:rsidR="008A7C19" w:rsidRPr="008A7C19" w:rsidRDefault="008A7C19" w:rsidP="008A7C19">
      <w:pPr>
        <w:tabs>
          <w:tab w:val="left" w:pos="567"/>
        </w:tabs>
        <w:spacing w:after="0" w:line="360" w:lineRule="auto"/>
        <w:jc w:val="both"/>
        <w:rPr>
          <w:rFonts w:ascii="Calibri" w:eastAsia="Times" w:hAnsi="Calibri" w:cs="Calibri"/>
          <w:bCs/>
          <w:i/>
          <w:iCs/>
          <w:sz w:val="24"/>
          <w:szCs w:val="24"/>
          <w:lang w:val="en-AU"/>
        </w:rPr>
      </w:pPr>
      <w:r>
        <w:rPr>
          <w:rFonts w:ascii="Calibri" w:eastAsia="Times" w:hAnsi="Calibri" w:cs="Calibri"/>
          <w:bCs/>
          <w:i/>
          <w:iCs/>
          <w:sz w:val="24"/>
          <w:szCs w:val="24"/>
          <w:lang w:val="en-AU"/>
        </w:rPr>
        <w:t>Grounds for discipline</w:t>
      </w:r>
    </w:p>
    <w:p w14:paraId="2DDD93A4" w14:textId="563989B9" w:rsidR="00A95A17" w:rsidRDefault="00A95A17" w:rsidP="00A95A17">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sidRPr="00D4794A">
        <w:rPr>
          <w:rFonts w:ascii="Calibri" w:eastAsia="Times" w:hAnsi="Calibri" w:cs="Calibri"/>
          <w:bCs/>
          <w:sz w:val="24"/>
          <w:szCs w:val="24"/>
          <w:lang w:val="en-AU"/>
        </w:rPr>
        <w:t>Section</w:t>
      </w:r>
      <w:r>
        <w:rPr>
          <w:rFonts w:ascii="Calibri" w:eastAsia="Times" w:hAnsi="Calibri" w:cs="Calibri"/>
          <w:bCs/>
          <w:sz w:val="24"/>
          <w:szCs w:val="20"/>
          <w:lang w:val="en-AU"/>
        </w:rPr>
        <w:t xml:space="preserve"> 82 sets out the grounds on which a “</w:t>
      </w:r>
      <w:r w:rsidRPr="00BC4FC3">
        <w:rPr>
          <w:rFonts w:ascii="Calibri" w:eastAsia="Times" w:hAnsi="Calibri" w:cs="Calibri"/>
          <w:bCs/>
          <w:i/>
          <w:iCs/>
          <w:sz w:val="24"/>
          <w:szCs w:val="20"/>
          <w:lang w:val="en-AU"/>
        </w:rPr>
        <w:t>social worker</w:t>
      </w:r>
      <w:r>
        <w:rPr>
          <w:rFonts w:ascii="Calibri" w:eastAsia="Times" w:hAnsi="Calibri" w:cs="Calibri"/>
          <w:bCs/>
          <w:sz w:val="24"/>
          <w:szCs w:val="20"/>
          <w:lang w:val="en-AU"/>
        </w:rPr>
        <w:t xml:space="preserve">” may be disciplined as follows: </w:t>
      </w:r>
    </w:p>
    <w:p w14:paraId="399D95E5" w14:textId="3257D9E3" w:rsidR="00380ABD" w:rsidRPr="00681A53" w:rsidRDefault="00266086" w:rsidP="00681A53">
      <w:pPr>
        <w:tabs>
          <w:tab w:val="left" w:pos="567"/>
        </w:tabs>
        <w:spacing w:after="0" w:line="240" w:lineRule="auto"/>
        <w:ind w:left="567"/>
        <w:jc w:val="both"/>
        <w:rPr>
          <w:rFonts w:ascii="Calibri" w:eastAsia="Times" w:hAnsi="Calibri" w:cs="Calibri"/>
          <w:b/>
          <w:sz w:val="24"/>
          <w:szCs w:val="24"/>
          <w:lang w:val="en-AU"/>
        </w:rPr>
      </w:pPr>
      <w:proofErr w:type="gramStart"/>
      <w:r w:rsidRPr="00681A53">
        <w:rPr>
          <w:rFonts w:ascii="Calibri" w:eastAsia="Times" w:hAnsi="Calibri" w:cs="Calibri"/>
          <w:b/>
          <w:sz w:val="24"/>
          <w:szCs w:val="24"/>
          <w:lang w:val="en-AU"/>
        </w:rPr>
        <w:t>82  Grounds</w:t>
      </w:r>
      <w:proofErr w:type="gramEnd"/>
      <w:r w:rsidRPr="00681A53">
        <w:rPr>
          <w:rFonts w:ascii="Calibri" w:eastAsia="Times" w:hAnsi="Calibri" w:cs="Calibri"/>
          <w:b/>
          <w:sz w:val="24"/>
          <w:szCs w:val="24"/>
          <w:lang w:val="en-AU"/>
        </w:rPr>
        <w:t xml:space="preserve"> on which Tribunal may make order</w:t>
      </w:r>
    </w:p>
    <w:p w14:paraId="6F4E94F5" w14:textId="779C229A" w:rsidR="00266086" w:rsidRPr="00681A53" w:rsidRDefault="00C445CD" w:rsidP="00681A53">
      <w:pPr>
        <w:pStyle w:val="ListParagraph"/>
        <w:numPr>
          <w:ilvl w:val="0"/>
          <w:numId w:val="14"/>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The Tribunal may make an order under section 83 in respect of a social worker if, after conducting a hearing on a charge laid against the social worker</w:t>
      </w:r>
      <w:r w:rsidR="004F0007" w:rsidRPr="00681A53">
        <w:rPr>
          <w:rFonts w:ascii="Calibri" w:eastAsia="Times" w:hAnsi="Calibri" w:cs="Calibri"/>
          <w:bCs/>
          <w:sz w:val="24"/>
          <w:szCs w:val="24"/>
          <w:lang w:val="en-AU"/>
        </w:rPr>
        <w:t>, it is satisfied that the social worker –</w:t>
      </w:r>
    </w:p>
    <w:p w14:paraId="185CA491" w14:textId="0F950D2C" w:rsidR="004F0007" w:rsidRPr="00681A53" w:rsidRDefault="004F0007" w:rsidP="00681A53">
      <w:pPr>
        <w:pStyle w:val="ListParagraph"/>
        <w:numPr>
          <w:ilvl w:val="0"/>
          <w:numId w:val="15"/>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Has been guilty of professional misconduc</w:t>
      </w:r>
      <w:r w:rsidR="00636DB5" w:rsidRPr="00681A53">
        <w:rPr>
          <w:rFonts w:ascii="Calibri" w:eastAsia="Times" w:hAnsi="Calibri" w:cs="Calibri"/>
          <w:bCs/>
          <w:sz w:val="24"/>
          <w:szCs w:val="24"/>
          <w:lang w:val="en-AU"/>
        </w:rPr>
        <w:t>t; or</w:t>
      </w:r>
    </w:p>
    <w:p w14:paraId="64270402" w14:textId="6FC8E351" w:rsidR="00636DB5" w:rsidRPr="00681A53" w:rsidRDefault="00636DB5" w:rsidP="00681A53">
      <w:pPr>
        <w:pStyle w:val="ListParagraph"/>
        <w:numPr>
          <w:ilvl w:val="0"/>
          <w:numId w:val="15"/>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Has been guilty of conduct that –</w:t>
      </w:r>
    </w:p>
    <w:p w14:paraId="24A647CD" w14:textId="54F8737C" w:rsidR="00636DB5" w:rsidRPr="00681A53" w:rsidRDefault="00636DB5" w:rsidP="00681A53">
      <w:pPr>
        <w:pStyle w:val="ListParagraph"/>
        <w:numPr>
          <w:ilvl w:val="0"/>
          <w:numId w:val="16"/>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Is unbecoming of a social worker; and</w:t>
      </w:r>
    </w:p>
    <w:p w14:paraId="5A734791" w14:textId="2BA4BBAF" w:rsidR="00636DB5" w:rsidRPr="00681A53" w:rsidRDefault="00CD0741" w:rsidP="00681A53">
      <w:pPr>
        <w:pStyle w:val="ListParagraph"/>
        <w:numPr>
          <w:ilvl w:val="0"/>
          <w:numId w:val="16"/>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Reflects adversely on the social worker’s fitness to practise as a social worker.</w:t>
      </w:r>
    </w:p>
    <w:p w14:paraId="3405C92E" w14:textId="70A355BC" w:rsidR="00CD0741" w:rsidRPr="00681A53" w:rsidRDefault="00CD0741" w:rsidP="00681A53">
      <w:pPr>
        <w:pStyle w:val="ListParagraph"/>
        <w:numPr>
          <w:ilvl w:val="0"/>
          <w:numId w:val="15"/>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Has been convicted by a court (in New Zealand or elsewhere) of an offence that –</w:t>
      </w:r>
    </w:p>
    <w:p w14:paraId="44236D97" w14:textId="77777777" w:rsidR="007C713B" w:rsidRPr="00681A53" w:rsidRDefault="00CD0741" w:rsidP="00681A53">
      <w:pPr>
        <w:pStyle w:val="ListParagraph"/>
        <w:numPr>
          <w:ilvl w:val="0"/>
          <w:numId w:val="17"/>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 xml:space="preserve">Is punishable by imprisonment for a term of 3 months </w:t>
      </w:r>
      <w:r w:rsidR="007C713B" w:rsidRPr="00681A53">
        <w:rPr>
          <w:rFonts w:ascii="Calibri" w:eastAsia="Times" w:hAnsi="Calibri" w:cs="Calibri"/>
          <w:bCs/>
          <w:sz w:val="24"/>
          <w:szCs w:val="24"/>
          <w:lang w:val="en-AU"/>
        </w:rPr>
        <w:t>or longer; and</w:t>
      </w:r>
    </w:p>
    <w:p w14:paraId="7CA8F7F3" w14:textId="77777777" w:rsidR="007C713B" w:rsidRPr="00681A53" w:rsidRDefault="007C713B" w:rsidP="00681A53">
      <w:pPr>
        <w:pStyle w:val="ListParagraph"/>
        <w:numPr>
          <w:ilvl w:val="0"/>
          <w:numId w:val="17"/>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Was committed in circumstances that reflect adversely on the social worker’s fitness to practise as a social worker; or</w:t>
      </w:r>
    </w:p>
    <w:p w14:paraId="69C0ED22" w14:textId="4CD0ADD1" w:rsidR="00CD0741" w:rsidRPr="00681A53" w:rsidRDefault="00CD0741" w:rsidP="00681A53">
      <w:pPr>
        <w:pStyle w:val="ListParagraph"/>
        <w:tabs>
          <w:tab w:val="left" w:pos="567"/>
        </w:tabs>
        <w:spacing w:after="0" w:line="240" w:lineRule="auto"/>
        <w:ind w:left="2517"/>
        <w:jc w:val="both"/>
        <w:rPr>
          <w:rFonts w:ascii="Calibri" w:eastAsia="Times" w:hAnsi="Calibri" w:cs="Calibri"/>
          <w:bCs/>
          <w:sz w:val="24"/>
          <w:szCs w:val="24"/>
          <w:lang w:val="en-AU"/>
        </w:rPr>
      </w:pPr>
      <w:r w:rsidRPr="00681A53">
        <w:rPr>
          <w:rFonts w:ascii="Calibri" w:eastAsia="Times" w:hAnsi="Calibri" w:cs="Calibri"/>
          <w:bCs/>
          <w:sz w:val="24"/>
          <w:szCs w:val="24"/>
          <w:lang w:val="en-AU"/>
        </w:rPr>
        <w:tab/>
      </w:r>
      <w:r w:rsidRPr="00681A53">
        <w:rPr>
          <w:rFonts w:ascii="Calibri" w:eastAsia="Times" w:hAnsi="Calibri" w:cs="Calibri"/>
          <w:bCs/>
          <w:sz w:val="24"/>
          <w:szCs w:val="24"/>
          <w:lang w:val="en-AU"/>
        </w:rPr>
        <w:tab/>
      </w:r>
      <w:r w:rsidRPr="00681A53">
        <w:rPr>
          <w:rFonts w:ascii="Calibri" w:eastAsia="Times" w:hAnsi="Calibri" w:cs="Calibri"/>
          <w:bCs/>
          <w:sz w:val="24"/>
          <w:szCs w:val="24"/>
          <w:lang w:val="en-AU"/>
        </w:rPr>
        <w:tab/>
      </w:r>
    </w:p>
    <w:p w14:paraId="049C3717" w14:textId="48BEF80B" w:rsidR="00266086" w:rsidRPr="00681A53" w:rsidRDefault="000C4F23" w:rsidP="00681A53">
      <w:pPr>
        <w:pStyle w:val="ListParagraph"/>
        <w:numPr>
          <w:ilvl w:val="0"/>
          <w:numId w:val="15"/>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lastRenderedPageBreak/>
        <w:t>Has failed to comply with conditions on his or her registration, or conditions stated under section 77(1)(b).</w:t>
      </w:r>
    </w:p>
    <w:p w14:paraId="613EA2EC" w14:textId="1620A498" w:rsidR="00026E03" w:rsidRPr="00681A53" w:rsidRDefault="00026E03" w:rsidP="00681A53">
      <w:pPr>
        <w:pStyle w:val="ListParagraph"/>
        <w:numPr>
          <w:ilvl w:val="0"/>
          <w:numId w:val="14"/>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A social worker is guilty of professional misconduct if he or she –</w:t>
      </w:r>
    </w:p>
    <w:p w14:paraId="034D395F" w14:textId="74BC5D62" w:rsidR="00026E03" w:rsidRPr="00681A53" w:rsidRDefault="00026E03" w:rsidP="00681A53">
      <w:pPr>
        <w:pStyle w:val="ListParagraph"/>
        <w:numPr>
          <w:ilvl w:val="0"/>
          <w:numId w:val="18"/>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Breaches the code of conduct; or</w:t>
      </w:r>
    </w:p>
    <w:p w14:paraId="79576F6F" w14:textId="12371C5C" w:rsidR="00026E03" w:rsidRPr="00681A53" w:rsidRDefault="00026E03" w:rsidP="00681A53">
      <w:pPr>
        <w:pStyle w:val="ListParagraph"/>
        <w:numPr>
          <w:ilvl w:val="0"/>
          <w:numId w:val="18"/>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While practising as a social worker, claims or holds himself or herself o</w:t>
      </w:r>
      <w:r w:rsidR="00EC0D22" w:rsidRPr="00681A53">
        <w:rPr>
          <w:rFonts w:ascii="Calibri" w:eastAsia="Times" w:hAnsi="Calibri" w:cs="Calibri"/>
          <w:bCs/>
          <w:sz w:val="24"/>
          <w:szCs w:val="24"/>
          <w:lang w:val="en-AU"/>
        </w:rPr>
        <w:t>ut to be registered while not holding a current practising certificate; or</w:t>
      </w:r>
    </w:p>
    <w:p w14:paraId="6747BFC0" w14:textId="10B39C74" w:rsidR="00EC0D22" w:rsidRPr="00681A53" w:rsidRDefault="00EC0D22" w:rsidP="00681A53">
      <w:pPr>
        <w:pStyle w:val="ListParagraph"/>
        <w:numPr>
          <w:ilvl w:val="0"/>
          <w:numId w:val="18"/>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Fails to report to the Board as required by section 51</w:t>
      </w:r>
      <w:r w:rsidR="006E4F51" w:rsidRPr="00681A53">
        <w:rPr>
          <w:rFonts w:ascii="Calibri" w:eastAsia="Times" w:hAnsi="Calibri" w:cs="Calibri"/>
          <w:bCs/>
          <w:sz w:val="24"/>
          <w:szCs w:val="24"/>
          <w:lang w:val="en-AU"/>
        </w:rPr>
        <w:t>(1A); or</w:t>
      </w:r>
    </w:p>
    <w:p w14:paraId="5585DA7E" w14:textId="6A048506" w:rsidR="006E4F51" w:rsidRPr="00681A53" w:rsidRDefault="006E4F51" w:rsidP="00681A53">
      <w:pPr>
        <w:pStyle w:val="ListParagraph"/>
        <w:numPr>
          <w:ilvl w:val="0"/>
          <w:numId w:val="18"/>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Commits an act or omission that, in the opinion of the Tribunal has brought or is likely to bring discredit to the social work profession</w:t>
      </w:r>
      <w:r w:rsidR="007B7D38" w:rsidRPr="00681A53">
        <w:rPr>
          <w:rFonts w:ascii="Calibri" w:eastAsia="Times" w:hAnsi="Calibri" w:cs="Calibri"/>
          <w:bCs/>
          <w:sz w:val="24"/>
          <w:szCs w:val="24"/>
          <w:lang w:val="en-AU"/>
        </w:rPr>
        <w:t>.</w:t>
      </w:r>
    </w:p>
    <w:p w14:paraId="4A70160A" w14:textId="10B0AA9B" w:rsidR="007B7D38" w:rsidRPr="00681A53" w:rsidRDefault="007B7D38" w:rsidP="00681A53">
      <w:pPr>
        <w:pStyle w:val="ListParagraph"/>
        <w:numPr>
          <w:ilvl w:val="0"/>
          <w:numId w:val="14"/>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 xml:space="preserve">The Tribunal must not make an order under section 83 in respect of an offence for which a social worker was convicted if, when the Board decided he or she </w:t>
      </w:r>
      <w:r w:rsidR="00A23676" w:rsidRPr="00681A53">
        <w:rPr>
          <w:rFonts w:ascii="Calibri" w:eastAsia="Times" w:hAnsi="Calibri" w:cs="Calibri"/>
          <w:bCs/>
          <w:sz w:val="24"/>
          <w:szCs w:val="24"/>
          <w:lang w:val="en-AU"/>
        </w:rPr>
        <w:t>should be registered it was -</w:t>
      </w:r>
    </w:p>
    <w:p w14:paraId="41E742A0" w14:textId="26190B6B" w:rsidR="00A23676" w:rsidRPr="00681A53" w:rsidRDefault="00A23676" w:rsidP="00681A53">
      <w:pPr>
        <w:pStyle w:val="ListParagraph"/>
        <w:numPr>
          <w:ilvl w:val="0"/>
          <w:numId w:val="19"/>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aware of the conviction; and</w:t>
      </w:r>
    </w:p>
    <w:p w14:paraId="29D7C431" w14:textId="0B9EC7BC" w:rsidR="00A23676" w:rsidRPr="00681A53" w:rsidRDefault="00A23676" w:rsidP="00681A53">
      <w:pPr>
        <w:pStyle w:val="ListParagraph"/>
        <w:numPr>
          <w:ilvl w:val="0"/>
          <w:numId w:val="19"/>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adequately informed of the circumstances of the offence.</w:t>
      </w:r>
    </w:p>
    <w:p w14:paraId="65612932" w14:textId="21D388CF" w:rsidR="00A23676" w:rsidRPr="00681A53" w:rsidRDefault="00A23676" w:rsidP="00681A53">
      <w:pPr>
        <w:pStyle w:val="ListParagraph"/>
        <w:numPr>
          <w:ilvl w:val="0"/>
          <w:numId w:val="14"/>
        </w:numPr>
        <w:tabs>
          <w:tab w:val="left" w:pos="567"/>
        </w:tabs>
        <w:spacing w:after="0" w:line="240" w:lineRule="auto"/>
        <w:jc w:val="both"/>
        <w:rPr>
          <w:rFonts w:ascii="Calibri" w:eastAsia="Times" w:hAnsi="Calibri" w:cs="Calibri"/>
          <w:bCs/>
          <w:sz w:val="24"/>
          <w:szCs w:val="24"/>
          <w:lang w:val="en-AU"/>
        </w:rPr>
      </w:pPr>
      <w:r w:rsidRPr="00681A53">
        <w:rPr>
          <w:rFonts w:ascii="Calibri" w:eastAsia="Times" w:hAnsi="Calibri" w:cs="Calibri"/>
          <w:bCs/>
          <w:sz w:val="24"/>
          <w:szCs w:val="24"/>
          <w:lang w:val="en-AU"/>
        </w:rPr>
        <w:t>A social worker is not guilty of a disciplinary offence just because he or she has practised honestly and in good faith a theory of social work that is not in conflict with the code of conduct.</w:t>
      </w:r>
    </w:p>
    <w:p w14:paraId="5890C41E" w14:textId="77777777" w:rsidR="00A23676" w:rsidRPr="00A23676" w:rsidRDefault="00A23676" w:rsidP="00681A53">
      <w:pPr>
        <w:tabs>
          <w:tab w:val="left" w:pos="567"/>
        </w:tabs>
        <w:spacing w:after="0" w:line="240" w:lineRule="auto"/>
        <w:ind w:left="927"/>
        <w:jc w:val="both"/>
        <w:rPr>
          <w:rFonts w:ascii="Calibri" w:eastAsia="Times" w:hAnsi="Calibri" w:cs="Calibri"/>
          <w:bCs/>
          <w:lang w:val="en-AU"/>
        </w:rPr>
      </w:pPr>
    </w:p>
    <w:p w14:paraId="2875BC4B" w14:textId="5649923A" w:rsidR="00A95A17" w:rsidRPr="0093504D" w:rsidRDefault="00A95A17" w:rsidP="00A95A17">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Section 82(1)(c) relating to the referral of criminal convictions was added by the Social Workers Registration Legislation Act 2019. Prior to the Act’s amendment in February 2019, convictions were considered by the Tribunal in the context of charges brought under section 82(1)(b). The introduction of section 82(1)(c) bring</w:t>
      </w:r>
      <w:r w:rsidR="00EE3048">
        <w:rPr>
          <w:rFonts w:ascii="Calibri" w:eastAsia="Times" w:hAnsi="Calibri" w:cs="Calibri"/>
          <w:bCs/>
          <w:sz w:val="24"/>
          <w:szCs w:val="20"/>
          <w:lang w:val="en-AU"/>
        </w:rPr>
        <w:t>s</w:t>
      </w:r>
      <w:r>
        <w:rPr>
          <w:rFonts w:ascii="Calibri" w:eastAsia="Times" w:hAnsi="Calibri" w:cs="Calibri"/>
          <w:bCs/>
          <w:sz w:val="24"/>
          <w:szCs w:val="20"/>
          <w:lang w:val="en-AU"/>
        </w:rPr>
        <w:t xml:space="preserve"> the SWR Act into line with the Health Practitioners Competence Assurance Act 2003, which contains a similar, although not identical provision in section 100(1)(c).</w:t>
      </w:r>
    </w:p>
    <w:p w14:paraId="346F535B" w14:textId="62CB44F1" w:rsidR="00A95A17" w:rsidRDefault="00A95A17" w:rsidP="00EE3048">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Section 83 identifies the penalties which may be imposed on a “</w:t>
      </w:r>
      <w:r w:rsidRPr="00BC4FC3">
        <w:rPr>
          <w:rFonts w:ascii="Calibri" w:eastAsia="Times" w:hAnsi="Calibri" w:cs="Calibri"/>
          <w:bCs/>
          <w:i/>
          <w:iCs/>
          <w:sz w:val="24"/>
          <w:szCs w:val="20"/>
          <w:lang w:val="en-AU"/>
        </w:rPr>
        <w:t>social worker</w:t>
      </w:r>
      <w:r>
        <w:rPr>
          <w:rFonts w:ascii="Calibri" w:eastAsia="Times" w:hAnsi="Calibri" w:cs="Calibri"/>
          <w:bCs/>
          <w:sz w:val="24"/>
          <w:szCs w:val="20"/>
          <w:lang w:val="en-AU"/>
        </w:rPr>
        <w:t>” who has been found guilty of one of the disciplinary offences in section 82. The range of penalty orders the Tribunal may make was extended by the Social Workers Registration Legislation Act 2019.</w:t>
      </w:r>
      <w:r w:rsidR="00257063">
        <w:rPr>
          <w:rFonts w:ascii="Calibri" w:eastAsia="Times" w:hAnsi="Calibri" w:cs="Calibri"/>
          <w:bCs/>
          <w:sz w:val="24"/>
          <w:szCs w:val="20"/>
          <w:lang w:val="en-AU"/>
        </w:rPr>
        <w:t xml:space="preserve"> As above, the Tribunal must not make an order under section 83</w:t>
      </w:r>
      <w:r w:rsidR="00771DDB">
        <w:rPr>
          <w:rFonts w:ascii="Calibri" w:eastAsia="Times" w:hAnsi="Calibri" w:cs="Calibri"/>
          <w:bCs/>
          <w:sz w:val="24"/>
          <w:szCs w:val="20"/>
          <w:lang w:val="en-AU"/>
        </w:rPr>
        <w:t xml:space="preserve"> in respect of an offence for which the social worker was convicted, if when the Board decided he or she should be registered it was</w:t>
      </w:r>
      <w:r w:rsidR="00BB3374">
        <w:rPr>
          <w:rFonts w:ascii="Calibri" w:eastAsia="Times" w:hAnsi="Calibri" w:cs="Calibri"/>
          <w:bCs/>
          <w:sz w:val="24"/>
          <w:szCs w:val="20"/>
          <w:lang w:val="en-AU"/>
        </w:rPr>
        <w:t xml:space="preserve"> aware of the conviction and adequately informed of the circumstances of the offence. It follows that if the Board was not so aware or adequately informed at that time then </w:t>
      </w:r>
      <w:r w:rsidR="0090593A">
        <w:rPr>
          <w:rFonts w:ascii="Calibri" w:eastAsia="Times" w:hAnsi="Calibri" w:cs="Calibri"/>
          <w:bCs/>
          <w:sz w:val="24"/>
          <w:szCs w:val="20"/>
          <w:lang w:val="en-AU"/>
        </w:rPr>
        <w:t>the Tribunal may make an order. However, the nature of the charge would</w:t>
      </w:r>
      <w:r w:rsidR="005F5F52">
        <w:rPr>
          <w:rFonts w:ascii="Calibri" w:eastAsia="Times" w:hAnsi="Calibri" w:cs="Calibri"/>
          <w:bCs/>
          <w:sz w:val="24"/>
          <w:szCs w:val="20"/>
          <w:lang w:val="en-AU"/>
        </w:rPr>
        <w:t xml:space="preserve"> not</w:t>
      </w:r>
      <w:r w:rsidR="0090593A">
        <w:rPr>
          <w:rFonts w:ascii="Calibri" w:eastAsia="Times" w:hAnsi="Calibri" w:cs="Calibri"/>
          <w:bCs/>
          <w:sz w:val="24"/>
          <w:szCs w:val="20"/>
          <w:lang w:val="en-AU"/>
        </w:rPr>
        <w:t xml:space="preserve"> be a referral of the conviction itself under section 82(1)(c). </w:t>
      </w:r>
      <w:r w:rsidR="00CE34F5">
        <w:rPr>
          <w:rFonts w:ascii="Calibri" w:eastAsia="Times" w:hAnsi="Calibri" w:cs="Calibri"/>
          <w:bCs/>
          <w:sz w:val="24"/>
          <w:szCs w:val="20"/>
          <w:lang w:val="en-AU"/>
        </w:rPr>
        <w:t xml:space="preserve">In the Tribunal’s view </w:t>
      </w:r>
      <w:r w:rsidR="00516ED8">
        <w:rPr>
          <w:rFonts w:ascii="Calibri" w:eastAsia="Times" w:hAnsi="Calibri" w:cs="Calibri"/>
          <w:bCs/>
          <w:sz w:val="24"/>
          <w:szCs w:val="20"/>
          <w:lang w:val="en-AU"/>
        </w:rPr>
        <w:t>such conduct would be</w:t>
      </w:r>
      <w:r w:rsidR="00CE34F5">
        <w:rPr>
          <w:rFonts w:ascii="Calibri" w:eastAsia="Times" w:hAnsi="Calibri" w:cs="Calibri"/>
          <w:bCs/>
          <w:sz w:val="24"/>
          <w:szCs w:val="20"/>
          <w:lang w:val="en-AU"/>
        </w:rPr>
        <w:t xml:space="preserve"> </w:t>
      </w:r>
      <w:r w:rsidR="00516ED8">
        <w:rPr>
          <w:rFonts w:ascii="Calibri" w:eastAsia="Times" w:hAnsi="Calibri" w:cs="Calibri"/>
          <w:bCs/>
          <w:sz w:val="24"/>
          <w:szCs w:val="20"/>
          <w:lang w:val="en-AU"/>
        </w:rPr>
        <w:t xml:space="preserve">charged as </w:t>
      </w:r>
      <w:r w:rsidR="005F5F52">
        <w:rPr>
          <w:rFonts w:ascii="Calibri" w:eastAsia="Times" w:hAnsi="Calibri" w:cs="Calibri"/>
          <w:bCs/>
          <w:sz w:val="24"/>
          <w:szCs w:val="20"/>
          <w:lang w:val="en-AU"/>
        </w:rPr>
        <w:t xml:space="preserve">professional misconduct under section 82(1)(a) (or </w:t>
      </w:r>
      <w:r w:rsidR="00CD3A6B">
        <w:rPr>
          <w:rFonts w:ascii="Calibri" w:eastAsia="Times" w:hAnsi="Calibri" w:cs="Calibri"/>
          <w:bCs/>
          <w:sz w:val="24"/>
          <w:szCs w:val="20"/>
          <w:lang w:val="en-AU"/>
        </w:rPr>
        <w:t>‘conduct unbecoming’ under section 82(1)(b))</w:t>
      </w:r>
      <w:r w:rsidR="00CE34F5">
        <w:rPr>
          <w:rFonts w:ascii="Calibri" w:eastAsia="Times" w:hAnsi="Calibri" w:cs="Calibri"/>
          <w:bCs/>
          <w:sz w:val="24"/>
          <w:szCs w:val="20"/>
          <w:lang w:val="en-AU"/>
        </w:rPr>
        <w:t xml:space="preserve"> </w:t>
      </w:r>
      <w:r w:rsidR="00CB02C6">
        <w:rPr>
          <w:rFonts w:ascii="Calibri" w:eastAsia="Times" w:hAnsi="Calibri" w:cs="Calibri"/>
          <w:bCs/>
          <w:sz w:val="24"/>
          <w:szCs w:val="20"/>
          <w:lang w:val="en-AU"/>
        </w:rPr>
        <w:t xml:space="preserve">on the basis </w:t>
      </w:r>
      <w:r w:rsidR="005C2B78">
        <w:rPr>
          <w:rFonts w:ascii="Calibri" w:eastAsia="Times" w:hAnsi="Calibri" w:cs="Calibri"/>
          <w:bCs/>
          <w:sz w:val="24"/>
          <w:szCs w:val="20"/>
          <w:lang w:val="en-AU"/>
        </w:rPr>
        <w:t>that the practitioner failed to inform the Board once they were registered, of the conviction and the circumstances of the offending.</w:t>
      </w:r>
      <w:r w:rsidR="00F738E9">
        <w:rPr>
          <w:rFonts w:ascii="Calibri" w:eastAsia="Times" w:hAnsi="Calibri" w:cs="Calibri"/>
          <w:bCs/>
          <w:sz w:val="24"/>
          <w:szCs w:val="20"/>
          <w:lang w:val="en-AU"/>
        </w:rPr>
        <w:t xml:space="preserve"> In this regard the</w:t>
      </w:r>
      <w:r w:rsidR="00094610">
        <w:rPr>
          <w:rFonts w:ascii="Calibri" w:eastAsia="Times" w:hAnsi="Calibri" w:cs="Calibri"/>
          <w:bCs/>
          <w:sz w:val="24"/>
          <w:szCs w:val="20"/>
          <w:lang w:val="en-AU"/>
        </w:rPr>
        <w:t xml:space="preserve"> Board’s</w:t>
      </w:r>
      <w:r w:rsidR="00F738E9">
        <w:rPr>
          <w:rFonts w:ascii="Calibri" w:eastAsia="Times" w:hAnsi="Calibri" w:cs="Calibri"/>
          <w:bCs/>
          <w:sz w:val="24"/>
          <w:szCs w:val="20"/>
          <w:lang w:val="en-AU"/>
        </w:rPr>
        <w:t xml:space="preserve"> Code </w:t>
      </w:r>
      <w:r w:rsidR="00F738E9">
        <w:rPr>
          <w:rFonts w:ascii="Calibri" w:eastAsia="Times" w:hAnsi="Calibri" w:cs="Calibri"/>
          <w:bCs/>
          <w:sz w:val="24"/>
          <w:szCs w:val="20"/>
          <w:lang w:val="en-AU"/>
        </w:rPr>
        <w:lastRenderedPageBreak/>
        <w:t xml:space="preserve">of Conduct </w:t>
      </w:r>
      <w:r w:rsidR="00D94307">
        <w:rPr>
          <w:rFonts w:ascii="Calibri" w:eastAsia="Times" w:hAnsi="Calibri" w:cs="Calibri"/>
          <w:bCs/>
          <w:sz w:val="24"/>
          <w:szCs w:val="20"/>
          <w:lang w:val="en-AU"/>
        </w:rPr>
        <w:t>provides in Principle 9 that social workers are expected to be honest, open and constructive in his or her dealings with the SWRB</w:t>
      </w:r>
      <w:r w:rsidR="005A2F3C">
        <w:rPr>
          <w:rFonts w:ascii="Calibri" w:eastAsia="Times" w:hAnsi="Calibri" w:cs="Calibri"/>
          <w:bCs/>
          <w:sz w:val="24"/>
          <w:szCs w:val="20"/>
          <w:lang w:val="en-AU"/>
        </w:rPr>
        <w:t>.</w:t>
      </w:r>
    </w:p>
    <w:p w14:paraId="1E92F07E" w14:textId="189013F7" w:rsidR="00C94A99" w:rsidRPr="00C94A99" w:rsidRDefault="00C94A99" w:rsidP="00C94A99">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Alternatively, section 82(1)(c) could be construed as indicating that convictions that the Board did not know about or was not adequately informed as to the circumstances of the offence could amount to a disciplinary offence</w:t>
      </w:r>
      <w:r w:rsidR="00143F49">
        <w:rPr>
          <w:rFonts w:ascii="Calibri" w:eastAsia="Times" w:hAnsi="Calibri" w:cs="Calibri"/>
          <w:bCs/>
          <w:sz w:val="24"/>
          <w:szCs w:val="24"/>
          <w:lang w:val="en-AU"/>
        </w:rPr>
        <w:t xml:space="preserve"> under this subsection</w:t>
      </w:r>
      <w:r>
        <w:rPr>
          <w:rFonts w:ascii="Calibri" w:eastAsia="Times" w:hAnsi="Calibri" w:cs="Calibri"/>
          <w:bCs/>
          <w:sz w:val="24"/>
          <w:szCs w:val="24"/>
          <w:lang w:val="en-AU"/>
        </w:rPr>
        <w:t xml:space="preserve"> and that this subsection is clear that Parliament intended for it to have retrospective effect. The absence of similar clarity in section 82(1)(a) and (b) indicate that the same could not be said for tho</w:t>
      </w:r>
      <w:r w:rsidR="00143F49">
        <w:rPr>
          <w:rFonts w:ascii="Calibri" w:eastAsia="Times" w:hAnsi="Calibri" w:cs="Calibri"/>
          <w:bCs/>
          <w:sz w:val="24"/>
          <w:szCs w:val="24"/>
          <w:lang w:val="en-AU"/>
        </w:rPr>
        <w:t>se subsections</w:t>
      </w:r>
      <w:r>
        <w:rPr>
          <w:rFonts w:ascii="Calibri" w:eastAsia="Times" w:hAnsi="Calibri" w:cs="Calibri"/>
          <w:bCs/>
          <w:sz w:val="24"/>
          <w:szCs w:val="24"/>
          <w:lang w:val="en-AU"/>
        </w:rPr>
        <w:t>.</w:t>
      </w:r>
    </w:p>
    <w:p w14:paraId="39DFAC8E" w14:textId="4417E98A" w:rsidR="0010582F" w:rsidRPr="008130FA" w:rsidRDefault="0010582F" w:rsidP="008130FA">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While section 82(1)(a) and (b) could, by themselves, be interpreted as granting jurisdiction over misconduct whenever it occurred, the Tribunal is of the view a proper contextual interpretation of </w:t>
      </w:r>
      <w:r w:rsidR="00846842">
        <w:rPr>
          <w:rFonts w:ascii="Calibri" w:eastAsia="Times" w:hAnsi="Calibri" w:cs="Calibri"/>
          <w:bCs/>
          <w:sz w:val="24"/>
          <w:szCs w:val="24"/>
          <w:lang w:val="en-AU"/>
        </w:rPr>
        <w:t>section 82</w:t>
      </w:r>
      <w:r>
        <w:rPr>
          <w:rFonts w:ascii="Calibri" w:eastAsia="Times" w:hAnsi="Calibri" w:cs="Calibri"/>
          <w:bCs/>
          <w:sz w:val="24"/>
          <w:szCs w:val="24"/>
          <w:lang w:val="en-AU"/>
        </w:rPr>
        <w:t xml:space="preserve"> (by a consideration of the statute as a whole)  supports the conclusion that those </w:t>
      </w:r>
      <w:r w:rsidR="00846842">
        <w:rPr>
          <w:rFonts w:ascii="Calibri" w:eastAsia="Times" w:hAnsi="Calibri" w:cs="Calibri"/>
          <w:bCs/>
          <w:sz w:val="24"/>
          <w:szCs w:val="24"/>
          <w:lang w:val="en-AU"/>
        </w:rPr>
        <w:t xml:space="preserve">subsections </w:t>
      </w:r>
      <w:r>
        <w:rPr>
          <w:rFonts w:ascii="Calibri" w:eastAsia="Times" w:hAnsi="Calibri" w:cs="Calibri"/>
          <w:bCs/>
          <w:sz w:val="24"/>
          <w:szCs w:val="24"/>
          <w:lang w:val="en-AU"/>
        </w:rPr>
        <w:t xml:space="preserve">do not confer jurisdiction </w:t>
      </w:r>
      <w:r w:rsidR="007C57D8">
        <w:rPr>
          <w:rFonts w:ascii="Calibri" w:eastAsia="Times" w:hAnsi="Calibri" w:cs="Calibri"/>
          <w:bCs/>
          <w:sz w:val="24"/>
          <w:szCs w:val="24"/>
          <w:lang w:val="en-AU"/>
        </w:rPr>
        <w:t>over</w:t>
      </w:r>
      <w:r>
        <w:rPr>
          <w:rFonts w:ascii="Calibri" w:eastAsia="Times" w:hAnsi="Calibri" w:cs="Calibri"/>
          <w:bCs/>
          <w:sz w:val="24"/>
          <w:szCs w:val="24"/>
          <w:lang w:val="en-AU"/>
        </w:rPr>
        <w:t xml:space="preserve"> pre-registration conduct. </w:t>
      </w:r>
    </w:p>
    <w:p w14:paraId="13803A11" w14:textId="00AE0B20" w:rsidR="00F37460" w:rsidRDefault="008D2AC4" w:rsidP="00D20A0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If the</w:t>
      </w:r>
      <w:r w:rsidR="0010582F" w:rsidRPr="00D20A0E">
        <w:rPr>
          <w:rFonts w:ascii="Calibri" w:eastAsia="Times" w:hAnsi="Calibri" w:cs="Calibri"/>
          <w:bCs/>
          <w:sz w:val="24"/>
          <w:szCs w:val="24"/>
          <w:lang w:val="en-AU"/>
        </w:rPr>
        <w:t xml:space="preserve"> Tribunal </w:t>
      </w:r>
      <w:r>
        <w:rPr>
          <w:rFonts w:ascii="Calibri" w:eastAsia="Times" w:hAnsi="Calibri" w:cs="Calibri"/>
          <w:bCs/>
          <w:sz w:val="24"/>
          <w:szCs w:val="24"/>
          <w:lang w:val="en-AU"/>
        </w:rPr>
        <w:t xml:space="preserve">had jurisdiction to </w:t>
      </w:r>
      <w:r w:rsidR="0010582F" w:rsidRPr="00D20A0E">
        <w:rPr>
          <w:rFonts w:ascii="Calibri" w:eastAsia="Times" w:hAnsi="Calibri" w:cs="Calibri"/>
          <w:bCs/>
          <w:sz w:val="24"/>
          <w:szCs w:val="24"/>
          <w:lang w:val="en-AU"/>
        </w:rPr>
        <w:t xml:space="preserve">consider pre-registration conduct </w:t>
      </w:r>
      <w:r w:rsidR="003A676E" w:rsidRPr="00D20A0E">
        <w:rPr>
          <w:rFonts w:ascii="Calibri" w:eastAsia="Times" w:hAnsi="Calibri" w:cs="Calibri"/>
          <w:bCs/>
          <w:sz w:val="24"/>
          <w:szCs w:val="24"/>
          <w:lang w:val="en-AU"/>
        </w:rPr>
        <w:t>that is charged under section 82(</w:t>
      </w:r>
      <w:r w:rsidR="00C0320F" w:rsidRPr="00D20A0E">
        <w:rPr>
          <w:rFonts w:ascii="Calibri" w:eastAsia="Times" w:hAnsi="Calibri" w:cs="Calibri"/>
          <w:bCs/>
          <w:sz w:val="24"/>
          <w:szCs w:val="24"/>
          <w:lang w:val="en-AU"/>
        </w:rPr>
        <w:t>1</w:t>
      </w:r>
      <w:r w:rsidR="003A676E" w:rsidRPr="00D20A0E">
        <w:rPr>
          <w:rFonts w:ascii="Calibri" w:eastAsia="Times" w:hAnsi="Calibri" w:cs="Calibri"/>
          <w:bCs/>
          <w:sz w:val="24"/>
          <w:szCs w:val="24"/>
          <w:lang w:val="en-AU"/>
        </w:rPr>
        <w:t xml:space="preserve">)(a) and </w:t>
      </w:r>
      <w:r w:rsidR="00C0320F" w:rsidRPr="00D20A0E">
        <w:rPr>
          <w:rFonts w:ascii="Calibri" w:eastAsia="Times" w:hAnsi="Calibri" w:cs="Calibri"/>
          <w:bCs/>
          <w:sz w:val="24"/>
          <w:szCs w:val="24"/>
          <w:lang w:val="en-AU"/>
        </w:rPr>
        <w:t>section 82(1)</w:t>
      </w:r>
      <w:r w:rsidR="003A676E" w:rsidRPr="00D20A0E">
        <w:rPr>
          <w:rFonts w:ascii="Calibri" w:eastAsia="Times" w:hAnsi="Calibri" w:cs="Calibri"/>
          <w:bCs/>
          <w:sz w:val="24"/>
          <w:szCs w:val="24"/>
          <w:lang w:val="en-AU"/>
        </w:rPr>
        <w:t xml:space="preserve">(b) </w:t>
      </w:r>
      <w:r>
        <w:rPr>
          <w:rFonts w:ascii="Calibri" w:eastAsia="Times" w:hAnsi="Calibri" w:cs="Calibri"/>
          <w:bCs/>
          <w:sz w:val="24"/>
          <w:szCs w:val="24"/>
          <w:lang w:val="en-AU"/>
        </w:rPr>
        <w:t xml:space="preserve">it </w:t>
      </w:r>
      <w:r w:rsidR="0010582F" w:rsidRPr="00D20A0E">
        <w:rPr>
          <w:rFonts w:ascii="Calibri" w:eastAsia="Times" w:hAnsi="Calibri" w:cs="Calibri"/>
          <w:bCs/>
          <w:sz w:val="24"/>
          <w:szCs w:val="24"/>
          <w:lang w:val="en-AU"/>
        </w:rPr>
        <w:t>would be obliged to consider that conduct in the light of conditions</w:t>
      </w:r>
      <w:r w:rsidR="001D3EAB">
        <w:rPr>
          <w:rFonts w:ascii="Calibri" w:eastAsia="Times" w:hAnsi="Calibri" w:cs="Calibri"/>
          <w:bCs/>
          <w:sz w:val="24"/>
          <w:szCs w:val="24"/>
          <w:lang w:val="en-AU"/>
        </w:rPr>
        <w:t xml:space="preserve">, </w:t>
      </w:r>
      <w:r w:rsidR="0010582F" w:rsidRPr="00D20A0E">
        <w:rPr>
          <w:rFonts w:ascii="Calibri" w:eastAsia="Times" w:hAnsi="Calibri" w:cs="Calibri"/>
          <w:bCs/>
          <w:sz w:val="24"/>
          <w:szCs w:val="24"/>
          <w:lang w:val="en-AU"/>
        </w:rPr>
        <w:t xml:space="preserve">circumstances </w:t>
      </w:r>
      <w:r w:rsidR="001D3EAB">
        <w:rPr>
          <w:rFonts w:ascii="Calibri" w:eastAsia="Times" w:hAnsi="Calibri" w:cs="Calibri"/>
          <w:bCs/>
          <w:sz w:val="24"/>
          <w:szCs w:val="24"/>
          <w:lang w:val="en-AU"/>
        </w:rPr>
        <w:t xml:space="preserve">and contemporary professional standards </w:t>
      </w:r>
      <w:r w:rsidR="0010582F" w:rsidRPr="00D20A0E">
        <w:rPr>
          <w:rFonts w:ascii="Calibri" w:eastAsia="Times" w:hAnsi="Calibri" w:cs="Calibri"/>
          <w:bCs/>
          <w:sz w:val="24"/>
          <w:szCs w:val="24"/>
          <w:lang w:val="en-AU"/>
        </w:rPr>
        <w:t>prevailing at the time</w:t>
      </w:r>
      <w:r w:rsidR="002557A2">
        <w:rPr>
          <w:rFonts w:ascii="Calibri" w:eastAsia="Times" w:hAnsi="Calibri" w:cs="Calibri"/>
          <w:bCs/>
          <w:sz w:val="24"/>
          <w:szCs w:val="24"/>
          <w:lang w:val="en-AU"/>
        </w:rPr>
        <w:t xml:space="preserve"> of the conduct</w:t>
      </w:r>
      <w:r w:rsidR="0010582F" w:rsidRPr="00D20A0E">
        <w:rPr>
          <w:rFonts w:ascii="Calibri" w:eastAsia="Times" w:hAnsi="Calibri" w:cs="Calibri"/>
          <w:bCs/>
          <w:sz w:val="24"/>
          <w:szCs w:val="24"/>
          <w:lang w:val="en-AU"/>
        </w:rPr>
        <w:t xml:space="preserve">.  </w:t>
      </w:r>
      <w:r>
        <w:rPr>
          <w:rFonts w:ascii="Calibri" w:eastAsia="Times" w:hAnsi="Calibri" w:cs="Calibri"/>
          <w:bCs/>
          <w:sz w:val="24"/>
          <w:szCs w:val="24"/>
          <w:lang w:val="en-AU"/>
        </w:rPr>
        <w:t xml:space="preserve">This would include the fact that the legislation did not require mandatory registration or the imposition of the obligations that go along with that. </w:t>
      </w:r>
      <w:r w:rsidR="00712573">
        <w:rPr>
          <w:rFonts w:ascii="Calibri" w:eastAsia="Times" w:hAnsi="Calibri" w:cs="Calibri"/>
          <w:bCs/>
          <w:sz w:val="24"/>
          <w:szCs w:val="24"/>
          <w:lang w:val="en-AU"/>
        </w:rPr>
        <w:t>The focus</w:t>
      </w:r>
      <w:r w:rsidR="00964293">
        <w:rPr>
          <w:rFonts w:ascii="Calibri" w:eastAsia="Times" w:hAnsi="Calibri" w:cs="Calibri"/>
          <w:bCs/>
          <w:sz w:val="24"/>
          <w:szCs w:val="24"/>
          <w:lang w:val="en-AU"/>
        </w:rPr>
        <w:t xml:space="preserve"> of the Tribunal’s inquiry</w:t>
      </w:r>
      <w:r w:rsidR="00D26727">
        <w:rPr>
          <w:rFonts w:ascii="Calibri" w:eastAsia="Times" w:hAnsi="Calibri" w:cs="Calibri"/>
          <w:bCs/>
          <w:sz w:val="24"/>
          <w:szCs w:val="24"/>
          <w:lang w:val="en-AU"/>
        </w:rPr>
        <w:t xml:space="preserve"> when considering charges of professional misconduct and ‘conduct unbecoming’</w:t>
      </w:r>
      <w:r w:rsidR="00964293">
        <w:rPr>
          <w:rFonts w:ascii="Calibri" w:eastAsia="Times" w:hAnsi="Calibri" w:cs="Calibri"/>
          <w:bCs/>
          <w:sz w:val="24"/>
          <w:szCs w:val="24"/>
          <w:lang w:val="en-AU"/>
        </w:rPr>
        <w:t xml:space="preserve"> </w:t>
      </w:r>
      <w:r w:rsidR="00C94894">
        <w:rPr>
          <w:rFonts w:ascii="Calibri" w:eastAsia="Times" w:hAnsi="Calibri" w:cs="Calibri"/>
          <w:bCs/>
          <w:sz w:val="24"/>
          <w:szCs w:val="24"/>
          <w:lang w:val="en-AU"/>
        </w:rPr>
        <w:t>must</w:t>
      </w:r>
      <w:r w:rsidR="00964293">
        <w:rPr>
          <w:rFonts w:ascii="Calibri" w:eastAsia="Times" w:hAnsi="Calibri" w:cs="Calibri"/>
          <w:bCs/>
          <w:sz w:val="24"/>
          <w:szCs w:val="24"/>
          <w:lang w:val="en-AU"/>
        </w:rPr>
        <w:t xml:space="preserve"> </w:t>
      </w:r>
      <w:r w:rsidR="00C81065">
        <w:rPr>
          <w:rFonts w:ascii="Calibri" w:eastAsia="Times" w:hAnsi="Calibri" w:cs="Calibri"/>
          <w:bCs/>
          <w:sz w:val="24"/>
          <w:szCs w:val="24"/>
          <w:lang w:val="en-AU"/>
        </w:rPr>
        <w:t>always</w:t>
      </w:r>
      <w:r w:rsidR="00C94894">
        <w:rPr>
          <w:rFonts w:ascii="Calibri" w:eastAsia="Times" w:hAnsi="Calibri" w:cs="Calibri"/>
          <w:bCs/>
          <w:sz w:val="24"/>
          <w:szCs w:val="24"/>
          <w:lang w:val="en-AU"/>
        </w:rPr>
        <w:t xml:space="preserve"> be</w:t>
      </w:r>
      <w:r w:rsidR="00C81065">
        <w:rPr>
          <w:rFonts w:ascii="Calibri" w:eastAsia="Times" w:hAnsi="Calibri" w:cs="Calibri"/>
          <w:bCs/>
          <w:sz w:val="24"/>
          <w:szCs w:val="24"/>
          <w:lang w:val="en-AU"/>
        </w:rPr>
        <w:t xml:space="preserve"> on </w:t>
      </w:r>
      <w:r w:rsidR="00964293">
        <w:rPr>
          <w:rFonts w:ascii="Calibri" w:eastAsia="Times" w:hAnsi="Calibri" w:cs="Calibri"/>
          <w:bCs/>
          <w:sz w:val="24"/>
          <w:szCs w:val="24"/>
          <w:lang w:val="en-AU"/>
        </w:rPr>
        <w:t>whether the practitioner’s conduct</w:t>
      </w:r>
      <w:r w:rsidR="00C81065">
        <w:rPr>
          <w:rFonts w:ascii="Calibri" w:eastAsia="Times" w:hAnsi="Calibri" w:cs="Calibri"/>
          <w:bCs/>
          <w:sz w:val="24"/>
          <w:szCs w:val="24"/>
          <w:lang w:val="en-AU"/>
        </w:rPr>
        <w:t xml:space="preserve"> </w:t>
      </w:r>
      <w:r w:rsidR="00964293">
        <w:rPr>
          <w:rFonts w:ascii="Calibri" w:eastAsia="Times" w:hAnsi="Calibri" w:cs="Calibri"/>
          <w:bCs/>
          <w:sz w:val="24"/>
          <w:szCs w:val="24"/>
          <w:lang w:val="en-AU"/>
        </w:rPr>
        <w:t xml:space="preserve">was an acceptable discharge of their </w:t>
      </w:r>
      <w:r w:rsidR="00964293" w:rsidRPr="00C81065">
        <w:rPr>
          <w:rFonts w:ascii="Calibri" w:eastAsia="Times" w:hAnsi="Calibri" w:cs="Calibri"/>
          <w:bCs/>
          <w:i/>
          <w:iCs/>
          <w:sz w:val="24"/>
          <w:szCs w:val="24"/>
          <w:lang w:val="en-AU"/>
        </w:rPr>
        <w:t>professional</w:t>
      </w:r>
      <w:r w:rsidR="00964293">
        <w:rPr>
          <w:rFonts w:ascii="Calibri" w:eastAsia="Times" w:hAnsi="Calibri" w:cs="Calibri"/>
          <w:bCs/>
          <w:sz w:val="24"/>
          <w:szCs w:val="24"/>
          <w:lang w:val="en-AU"/>
        </w:rPr>
        <w:t xml:space="preserve"> obligations at the time of the conduct</w:t>
      </w:r>
      <w:r w:rsidR="00DF46B4">
        <w:rPr>
          <w:rFonts w:ascii="Calibri" w:eastAsia="Times" w:hAnsi="Calibri" w:cs="Calibri"/>
          <w:bCs/>
          <w:sz w:val="24"/>
          <w:szCs w:val="24"/>
          <w:lang w:val="en-AU"/>
        </w:rPr>
        <w:t xml:space="preserve"> (which is a question of degree)</w:t>
      </w:r>
      <w:r w:rsidR="00422495">
        <w:rPr>
          <w:rStyle w:val="FootnoteReference"/>
          <w:rFonts w:ascii="Calibri" w:eastAsia="Times" w:hAnsi="Calibri" w:cs="Calibri"/>
          <w:bCs/>
          <w:sz w:val="24"/>
          <w:szCs w:val="24"/>
          <w:lang w:val="en-AU"/>
        </w:rPr>
        <w:footnoteReference w:id="24"/>
      </w:r>
      <w:r w:rsidR="00964293">
        <w:rPr>
          <w:rFonts w:ascii="Calibri" w:eastAsia="Times" w:hAnsi="Calibri" w:cs="Calibri"/>
          <w:bCs/>
          <w:sz w:val="24"/>
          <w:szCs w:val="24"/>
          <w:lang w:val="en-AU"/>
        </w:rPr>
        <w:t xml:space="preserve">. </w:t>
      </w:r>
      <w:r w:rsidR="0010582F" w:rsidRPr="00D20A0E">
        <w:rPr>
          <w:rFonts w:ascii="Calibri" w:eastAsia="Times" w:hAnsi="Calibri" w:cs="Calibri"/>
          <w:bCs/>
          <w:sz w:val="24"/>
          <w:szCs w:val="24"/>
          <w:lang w:val="en-AU"/>
        </w:rPr>
        <w:t xml:space="preserve">The Tribunal does not consider it could </w:t>
      </w:r>
      <w:r w:rsidR="009D1A0F">
        <w:rPr>
          <w:rFonts w:ascii="Calibri" w:eastAsia="Times" w:hAnsi="Calibri" w:cs="Calibri"/>
          <w:bCs/>
          <w:sz w:val="24"/>
          <w:szCs w:val="24"/>
          <w:lang w:val="en-AU"/>
        </w:rPr>
        <w:t>fairly</w:t>
      </w:r>
      <w:r w:rsidR="0010582F" w:rsidRPr="00D20A0E">
        <w:rPr>
          <w:rFonts w:ascii="Calibri" w:eastAsia="Times" w:hAnsi="Calibri" w:cs="Calibri"/>
          <w:bCs/>
          <w:sz w:val="24"/>
          <w:szCs w:val="24"/>
          <w:lang w:val="en-AU"/>
        </w:rPr>
        <w:t xml:space="preserve"> assess the conduct of a social worker </w:t>
      </w:r>
      <w:r w:rsidR="00D26727">
        <w:rPr>
          <w:rFonts w:ascii="Calibri" w:eastAsia="Times" w:hAnsi="Calibri" w:cs="Calibri"/>
          <w:bCs/>
          <w:sz w:val="24"/>
          <w:szCs w:val="24"/>
          <w:lang w:val="en-AU"/>
        </w:rPr>
        <w:t>who was not a member of the registered social work profession</w:t>
      </w:r>
      <w:r w:rsidR="00A31AD4">
        <w:rPr>
          <w:rFonts w:ascii="Calibri" w:eastAsia="Times" w:hAnsi="Calibri" w:cs="Calibri"/>
          <w:bCs/>
          <w:sz w:val="24"/>
          <w:szCs w:val="24"/>
          <w:lang w:val="en-AU"/>
        </w:rPr>
        <w:t xml:space="preserve"> at the time</w:t>
      </w:r>
      <w:r w:rsidR="009B5A32">
        <w:rPr>
          <w:rFonts w:ascii="Calibri" w:eastAsia="Times" w:hAnsi="Calibri" w:cs="Calibri"/>
          <w:bCs/>
          <w:sz w:val="24"/>
          <w:szCs w:val="24"/>
          <w:lang w:val="en-AU"/>
        </w:rPr>
        <w:t xml:space="preserve"> of the conduct</w:t>
      </w:r>
      <w:r w:rsidR="009D1A0F">
        <w:rPr>
          <w:rFonts w:ascii="Calibri" w:eastAsia="Times" w:hAnsi="Calibri" w:cs="Calibri"/>
          <w:bCs/>
          <w:sz w:val="24"/>
          <w:szCs w:val="24"/>
          <w:lang w:val="en-AU"/>
        </w:rPr>
        <w:t>,</w:t>
      </w:r>
      <w:r w:rsidR="0010582F" w:rsidRPr="00D20A0E">
        <w:rPr>
          <w:rFonts w:ascii="Calibri" w:eastAsia="Times" w:hAnsi="Calibri" w:cs="Calibri"/>
          <w:bCs/>
          <w:sz w:val="24"/>
          <w:szCs w:val="24"/>
          <w:lang w:val="en-AU"/>
        </w:rPr>
        <w:t xml:space="preserve"> </w:t>
      </w:r>
      <w:r w:rsidR="00FF729A">
        <w:rPr>
          <w:rFonts w:ascii="Calibri" w:eastAsia="Times" w:hAnsi="Calibri" w:cs="Calibri"/>
          <w:bCs/>
          <w:sz w:val="24"/>
          <w:szCs w:val="24"/>
          <w:lang w:val="en-AU"/>
        </w:rPr>
        <w:t xml:space="preserve">as to do so would involve the </w:t>
      </w:r>
      <w:r w:rsidR="00C94894">
        <w:rPr>
          <w:rFonts w:ascii="Calibri" w:eastAsia="Times" w:hAnsi="Calibri" w:cs="Calibri"/>
          <w:bCs/>
          <w:sz w:val="24"/>
          <w:szCs w:val="24"/>
          <w:lang w:val="en-AU"/>
        </w:rPr>
        <w:t>appl</w:t>
      </w:r>
      <w:r w:rsidR="00FF729A">
        <w:rPr>
          <w:rFonts w:ascii="Calibri" w:eastAsia="Times" w:hAnsi="Calibri" w:cs="Calibri"/>
          <w:bCs/>
          <w:sz w:val="24"/>
          <w:szCs w:val="24"/>
          <w:lang w:val="en-AU"/>
        </w:rPr>
        <w:t>ication of</w:t>
      </w:r>
      <w:r w:rsidR="0010582F" w:rsidRPr="00D20A0E">
        <w:rPr>
          <w:rFonts w:ascii="Calibri" w:eastAsia="Times" w:hAnsi="Calibri" w:cs="Calibri"/>
          <w:bCs/>
          <w:sz w:val="24"/>
          <w:szCs w:val="24"/>
          <w:lang w:val="en-AU"/>
        </w:rPr>
        <w:t xml:space="preserve"> the professional standards</w:t>
      </w:r>
      <w:r w:rsidR="003A6611">
        <w:rPr>
          <w:rFonts w:ascii="Calibri" w:eastAsia="Times" w:hAnsi="Calibri" w:cs="Calibri"/>
          <w:bCs/>
          <w:sz w:val="24"/>
          <w:szCs w:val="24"/>
          <w:lang w:val="en-AU"/>
        </w:rPr>
        <w:t xml:space="preserve"> and expectations</w:t>
      </w:r>
      <w:r w:rsidR="0010582F" w:rsidRPr="00D20A0E">
        <w:rPr>
          <w:rFonts w:ascii="Calibri" w:eastAsia="Times" w:hAnsi="Calibri" w:cs="Calibri"/>
          <w:bCs/>
          <w:sz w:val="24"/>
          <w:szCs w:val="24"/>
          <w:lang w:val="en-AU"/>
        </w:rPr>
        <w:t xml:space="preserve"> that applied to registered social workers</w:t>
      </w:r>
      <w:r>
        <w:rPr>
          <w:rFonts w:ascii="Calibri" w:eastAsia="Times" w:hAnsi="Calibri" w:cs="Calibri"/>
          <w:bCs/>
          <w:sz w:val="24"/>
          <w:szCs w:val="24"/>
          <w:lang w:val="en-AU"/>
        </w:rPr>
        <w:t xml:space="preserve"> who adopted those responsibilities by virtue of </w:t>
      </w:r>
      <w:r w:rsidR="00B41356">
        <w:rPr>
          <w:rFonts w:ascii="Calibri" w:eastAsia="Times" w:hAnsi="Calibri" w:cs="Calibri"/>
          <w:bCs/>
          <w:sz w:val="24"/>
          <w:szCs w:val="24"/>
          <w:lang w:val="en-AU"/>
        </w:rPr>
        <w:t xml:space="preserve">their voluntary </w:t>
      </w:r>
      <w:r w:rsidR="00712573">
        <w:rPr>
          <w:rFonts w:ascii="Calibri" w:eastAsia="Times" w:hAnsi="Calibri" w:cs="Calibri"/>
          <w:bCs/>
          <w:sz w:val="24"/>
          <w:szCs w:val="24"/>
          <w:lang w:val="en-AU"/>
        </w:rPr>
        <w:t>registration. That</w:t>
      </w:r>
      <w:r w:rsidR="00B41356">
        <w:rPr>
          <w:rFonts w:ascii="Calibri" w:eastAsia="Times" w:hAnsi="Calibri" w:cs="Calibri"/>
          <w:bCs/>
          <w:sz w:val="24"/>
          <w:szCs w:val="24"/>
          <w:lang w:val="en-AU"/>
        </w:rPr>
        <w:t xml:space="preserve"> some social workers were required by their employer to register prior to this becoming mandatory reflects the importance of registration, </w:t>
      </w:r>
      <w:r w:rsidR="0017037C">
        <w:rPr>
          <w:rFonts w:ascii="Calibri" w:eastAsia="Times" w:hAnsi="Calibri" w:cs="Calibri"/>
          <w:bCs/>
          <w:sz w:val="24"/>
          <w:szCs w:val="24"/>
          <w:lang w:val="en-AU"/>
        </w:rPr>
        <w:t xml:space="preserve">but </w:t>
      </w:r>
      <w:r w:rsidR="00B41356">
        <w:rPr>
          <w:rFonts w:ascii="Calibri" w:eastAsia="Times" w:hAnsi="Calibri" w:cs="Calibri"/>
          <w:bCs/>
          <w:sz w:val="24"/>
          <w:szCs w:val="24"/>
          <w:lang w:val="en-AU"/>
        </w:rPr>
        <w:t>not its universal application.</w:t>
      </w:r>
      <w:r w:rsidR="000259E3">
        <w:rPr>
          <w:rFonts w:ascii="Calibri" w:eastAsia="Times" w:hAnsi="Calibri" w:cs="Calibri"/>
          <w:bCs/>
          <w:sz w:val="24"/>
          <w:szCs w:val="24"/>
          <w:lang w:val="en-AU"/>
        </w:rPr>
        <w:t xml:space="preserve"> </w:t>
      </w:r>
    </w:p>
    <w:p w14:paraId="6CA8860C" w14:textId="2C8E7FBB" w:rsidR="002413DC" w:rsidRDefault="000259E3" w:rsidP="00D20A0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Counsel for the </w:t>
      </w:r>
      <w:r w:rsidR="00D37F9E">
        <w:rPr>
          <w:rFonts w:ascii="Calibri" w:eastAsia="Times" w:hAnsi="Calibri" w:cs="Calibri"/>
          <w:bCs/>
          <w:sz w:val="24"/>
          <w:szCs w:val="24"/>
          <w:lang w:val="en-AU"/>
        </w:rPr>
        <w:t xml:space="preserve">PCC </w:t>
      </w:r>
      <w:r>
        <w:rPr>
          <w:rFonts w:ascii="Calibri" w:eastAsia="Times" w:hAnsi="Calibri" w:cs="Calibri"/>
          <w:bCs/>
          <w:sz w:val="24"/>
          <w:szCs w:val="24"/>
          <w:lang w:val="en-AU"/>
        </w:rPr>
        <w:t>submitted, with reference to the Board’s Code of Conduct, that the standards in the Code appl</w:t>
      </w:r>
      <w:r w:rsidR="00EF64D5">
        <w:rPr>
          <w:rFonts w:ascii="Calibri" w:eastAsia="Times" w:hAnsi="Calibri" w:cs="Calibri"/>
          <w:bCs/>
          <w:sz w:val="24"/>
          <w:szCs w:val="24"/>
          <w:lang w:val="en-AU"/>
        </w:rPr>
        <w:t>y</w:t>
      </w:r>
      <w:r>
        <w:rPr>
          <w:rFonts w:ascii="Calibri" w:eastAsia="Times" w:hAnsi="Calibri" w:cs="Calibri"/>
          <w:bCs/>
          <w:sz w:val="24"/>
          <w:szCs w:val="24"/>
          <w:lang w:val="en-AU"/>
        </w:rPr>
        <w:t xml:space="preserve"> to unregistered social workers as well as to registered social </w:t>
      </w:r>
      <w:r>
        <w:rPr>
          <w:rFonts w:ascii="Calibri" w:eastAsia="Times" w:hAnsi="Calibri" w:cs="Calibri"/>
          <w:bCs/>
          <w:sz w:val="24"/>
          <w:szCs w:val="24"/>
          <w:lang w:val="en-AU"/>
        </w:rPr>
        <w:lastRenderedPageBreak/>
        <w:t xml:space="preserve">workers. </w:t>
      </w:r>
      <w:r w:rsidR="00AA668C">
        <w:rPr>
          <w:rFonts w:ascii="Calibri" w:eastAsia="Times" w:hAnsi="Calibri" w:cs="Calibri"/>
          <w:bCs/>
          <w:sz w:val="24"/>
          <w:szCs w:val="24"/>
          <w:lang w:val="en-AU"/>
        </w:rPr>
        <w:t xml:space="preserve"> While that may be the Board’s aspiration</w:t>
      </w:r>
      <w:r w:rsidR="008B6CEB">
        <w:rPr>
          <w:rFonts w:ascii="Calibri" w:eastAsia="Times" w:hAnsi="Calibri" w:cs="Calibri"/>
          <w:bCs/>
          <w:sz w:val="24"/>
          <w:szCs w:val="24"/>
          <w:lang w:val="en-AU"/>
        </w:rPr>
        <w:t>,</w:t>
      </w:r>
      <w:r w:rsidR="00AA668C">
        <w:rPr>
          <w:rFonts w:ascii="Calibri" w:eastAsia="Times" w:hAnsi="Calibri" w:cs="Calibri"/>
          <w:bCs/>
          <w:sz w:val="24"/>
          <w:szCs w:val="24"/>
          <w:lang w:val="en-AU"/>
        </w:rPr>
        <w:t xml:space="preserve"> the reality has been</w:t>
      </w:r>
      <w:r w:rsidR="00DF40B0">
        <w:rPr>
          <w:rFonts w:ascii="Calibri" w:eastAsia="Times" w:hAnsi="Calibri" w:cs="Calibri"/>
          <w:bCs/>
          <w:sz w:val="24"/>
          <w:szCs w:val="24"/>
          <w:lang w:val="en-AU"/>
        </w:rPr>
        <w:t xml:space="preserve"> </w:t>
      </w:r>
      <w:r w:rsidR="00AA668C">
        <w:rPr>
          <w:rFonts w:ascii="Calibri" w:eastAsia="Times" w:hAnsi="Calibri" w:cs="Calibri"/>
          <w:bCs/>
          <w:sz w:val="24"/>
          <w:szCs w:val="24"/>
          <w:lang w:val="en-AU"/>
        </w:rPr>
        <w:t xml:space="preserve">and continues to be that the Code is not enforceable against </w:t>
      </w:r>
      <w:r w:rsidR="00F75A72">
        <w:rPr>
          <w:rFonts w:ascii="Calibri" w:eastAsia="Times" w:hAnsi="Calibri" w:cs="Calibri"/>
          <w:bCs/>
          <w:sz w:val="24"/>
          <w:szCs w:val="24"/>
          <w:lang w:val="en-AU"/>
        </w:rPr>
        <w:t>anyone other than registered social workers</w:t>
      </w:r>
      <w:r w:rsidR="00A94780">
        <w:rPr>
          <w:rFonts w:ascii="Calibri" w:eastAsia="Times" w:hAnsi="Calibri" w:cs="Calibri"/>
          <w:bCs/>
          <w:sz w:val="24"/>
          <w:szCs w:val="24"/>
          <w:lang w:val="en-AU"/>
        </w:rPr>
        <w:t>, at least in the Tribunal’s context</w:t>
      </w:r>
      <w:r w:rsidR="00846842">
        <w:rPr>
          <w:rStyle w:val="FootnoteReference"/>
          <w:rFonts w:ascii="Calibri" w:eastAsia="Times" w:hAnsi="Calibri" w:cs="Calibri"/>
          <w:bCs/>
          <w:sz w:val="24"/>
          <w:szCs w:val="24"/>
          <w:lang w:val="en-AU"/>
        </w:rPr>
        <w:footnoteReference w:id="25"/>
      </w:r>
      <w:r w:rsidR="00F75A72">
        <w:rPr>
          <w:rFonts w:ascii="Calibri" w:eastAsia="Times" w:hAnsi="Calibri" w:cs="Calibri"/>
          <w:bCs/>
          <w:sz w:val="24"/>
          <w:szCs w:val="24"/>
          <w:lang w:val="en-AU"/>
        </w:rPr>
        <w:t>.</w:t>
      </w:r>
      <w:r w:rsidR="00DF40B0">
        <w:rPr>
          <w:rFonts w:ascii="Calibri" w:eastAsia="Times" w:hAnsi="Calibri" w:cs="Calibri"/>
          <w:bCs/>
          <w:sz w:val="24"/>
          <w:szCs w:val="24"/>
          <w:lang w:val="en-AU"/>
        </w:rPr>
        <w:t xml:space="preserve"> It may </w:t>
      </w:r>
      <w:r w:rsidR="00F37460">
        <w:rPr>
          <w:rFonts w:ascii="Calibri" w:eastAsia="Times" w:hAnsi="Calibri" w:cs="Calibri"/>
          <w:bCs/>
          <w:sz w:val="24"/>
          <w:szCs w:val="24"/>
          <w:lang w:val="en-AU"/>
        </w:rPr>
        <w:t xml:space="preserve">be </w:t>
      </w:r>
      <w:r w:rsidR="00DF40B0">
        <w:rPr>
          <w:rFonts w:ascii="Calibri" w:eastAsia="Times" w:hAnsi="Calibri" w:cs="Calibri"/>
          <w:bCs/>
          <w:sz w:val="24"/>
          <w:szCs w:val="24"/>
          <w:lang w:val="en-AU"/>
        </w:rPr>
        <w:t xml:space="preserve">the case that an unregistered social worker is not aware of the </w:t>
      </w:r>
      <w:r w:rsidR="00EF64D5">
        <w:rPr>
          <w:rFonts w:ascii="Calibri" w:eastAsia="Times" w:hAnsi="Calibri" w:cs="Calibri"/>
          <w:bCs/>
          <w:sz w:val="24"/>
          <w:szCs w:val="24"/>
          <w:lang w:val="en-AU"/>
        </w:rPr>
        <w:t xml:space="preserve">Board’s </w:t>
      </w:r>
      <w:r w:rsidR="00DF40B0">
        <w:rPr>
          <w:rFonts w:ascii="Calibri" w:eastAsia="Times" w:hAnsi="Calibri" w:cs="Calibri"/>
          <w:bCs/>
          <w:sz w:val="24"/>
          <w:szCs w:val="24"/>
          <w:lang w:val="en-AU"/>
        </w:rPr>
        <w:t>Code</w:t>
      </w:r>
      <w:r w:rsidR="00846842">
        <w:rPr>
          <w:rFonts w:ascii="Calibri" w:eastAsia="Times" w:hAnsi="Calibri" w:cs="Calibri"/>
          <w:bCs/>
          <w:sz w:val="24"/>
          <w:szCs w:val="24"/>
          <w:lang w:val="en-AU"/>
        </w:rPr>
        <w:t>, or was not required by their employer, as a term of their employment, to work in accordance with the standards in the Code</w:t>
      </w:r>
      <w:r w:rsidR="00DF40B0">
        <w:rPr>
          <w:rFonts w:ascii="Calibri" w:eastAsia="Times" w:hAnsi="Calibri" w:cs="Calibri"/>
          <w:bCs/>
          <w:sz w:val="24"/>
          <w:szCs w:val="24"/>
          <w:lang w:val="en-AU"/>
        </w:rPr>
        <w:t>.</w:t>
      </w:r>
      <w:r w:rsidR="00302CB1">
        <w:rPr>
          <w:rFonts w:ascii="Calibri" w:eastAsia="Times" w:hAnsi="Calibri" w:cs="Calibri"/>
          <w:bCs/>
          <w:sz w:val="24"/>
          <w:szCs w:val="24"/>
          <w:lang w:val="en-AU"/>
        </w:rPr>
        <w:t xml:space="preserve"> In any event, the Tribunal does not consider that a social worker can fairly be disciplined for a breach of the Code that they were not legally bound by because they were not members of the registered social work profession</w:t>
      </w:r>
      <w:r w:rsidR="001F615F">
        <w:rPr>
          <w:rFonts w:ascii="Calibri" w:eastAsia="Times" w:hAnsi="Calibri" w:cs="Calibri"/>
          <w:bCs/>
          <w:sz w:val="24"/>
          <w:szCs w:val="24"/>
          <w:lang w:val="en-AU"/>
        </w:rPr>
        <w:t xml:space="preserve"> governed by the Board</w:t>
      </w:r>
      <w:r w:rsidR="00846842">
        <w:rPr>
          <w:rFonts w:ascii="Calibri" w:eastAsia="Times" w:hAnsi="Calibri" w:cs="Calibri"/>
          <w:bCs/>
          <w:sz w:val="24"/>
          <w:szCs w:val="24"/>
          <w:lang w:val="en-AU"/>
        </w:rPr>
        <w:t xml:space="preserve"> under the Act</w:t>
      </w:r>
      <w:r w:rsidR="00C37F07">
        <w:rPr>
          <w:rFonts w:ascii="Calibri" w:eastAsia="Times" w:hAnsi="Calibri" w:cs="Calibri"/>
          <w:bCs/>
          <w:sz w:val="24"/>
          <w:szCs w:val="24"/>
          <w:lang w:val="en-AU"/>
        </w:rPr>
        <w:t>,</w:t>
      </w:r>
      <w:r w:rsidR="00302CB1">
        <w:rPr>
          <w:rFonts w:ascii="Calibri" w:eastAsia="Times" w:hAnsi="Calibri" w:cs="Calibri"/>
          <w:bCs/>
          <w:sz w:val="24"/>
          <w:szCs w:val="24"/>
          <w:lang w:val="en-AU"/>
        </w:rPr>
        <w:t xml:space="preserve"> </w:t>
      </w:r>
      <w:r w:rsidR="001F615F">
        <w:rPr>
          <w:rFonts w:ascii="Calibri" w:eastAsia="Times" w:hAnsi="Calibri" w:cs="Calibri"/>
          <w:bCs/>
          <w:sz w:val="24"/>
          <w:szCs w:val="24"/>
          <w:lang w:val="en-AU"/>
        </w:rPr>
        <w:t xml:space="preserve">at the </w:t>
      </w:r>
      <w:r w:rsidR="00705757">
        <w:rPr>
          <w:rFonts w:ascii="Calibri" w:eastAsia="Times" w:hAnsi="Calibri" w:cs="Calibri"/>
          <w:bCs/>
          <w:sz w:val="24"/>
          <w:szCs w:val="24"/>
          <w:lang w:val="en-AU"/>
        </w:rPr>
        <w:t>time of the conduct</w:t>
      </w:r>
      <w:r w:rsidR="00302CB1">
        <w:rPr>
          <w:rFonts w:ascii="Calibri" w:eastAsia="Times" w:hAnsi="Calibri" w:cs="Calibri"/>
          <w:bCs/>
          <w:sz w:val="24"/>
          <w:szCs w:val="24"/>
          <w:lang w:val="en-AU"/>
        </w:rPr>
        <w:t>.</w:t>
      </w:r>
    </w:p>
    <w:p w14:paraId="320A244D" w14:textId="6A38B966" w:rsidR="002D25DB" w:rsidRDefault="00365D9C" w:rsidP="00D20A0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For th</w:t>
      </w:r>
      <w:r w:rsidR="00B41356">
        <w:rPr>
          <w:rFonts w:ascii="Calibri" w:eastAsia="Times" w:hAnsi="Calibri" w:cs="Calibri"/>
          <w:bCs/>
          <w:sz w:val="24"/>
          <w:szCs w:val="24"/>
          <w:lang w:val="en-AU"/>
        </w:rPr>
        <w:t>ese reasons</w:t>
      </w:r>
      <w:r>
        <w:rPr>
          <w:rFonts w:ascii="Calibri" w:eastAsia="Times" w:hAnsi="Calibri" w:cs="Calibri"/>
          <w:bCs/>
          <w:sz w:val="24"/>
          <w:szCs w:val="24"/>
          <w:lang w:val="en-AU"/>
        </w:rPr>
        <w:t>, t</w:t>
      </w:r>
      <w:r w:rsidR="00026984">
        <w:rPr>
          <w:rFonts w:ascii="Calibri" w:eastAsia="Times" w:hAnsi="Calibri" w:cs="Calibri"/>
          <w:bCs/>
          <w:sz w:val="24"/>
          <w:szCs w:val="24"/>
          <w:lang w:val="en-AU"/>
        </w:rPr>
        <w:t>he Tribunal</w:t>
      </w:r>
      <w:r w:rsidR="0010582F" w:rsidRPr="00D20A0E">
        <w:rPr>
          <w:rFonts w:ascii="Calibri" w:eastAsia="Times" w:hAnsi="Calibri" w:cs="Calibri"/>
          <w:bCs/>
          <w:sz w:val="24"/>
          <w:szCs w:val="24"/>
          <w:lang w:val="en-AU"/>
        </w:rPr>
        <w:t xml:space="preserve"> consider</w:t>
      </w:r>
      <w:r w:rsidR="00026984">
        <w:rPr>
          <w:rFonts w:ascii="Calibri" w:eastAsia="Times" w:hAnsi="Calibri" w:cs="Calibri"/>
          <w:bCs/>
          <w:sz w:val="24"/>
          <w:szCs w:val="24"/>
          <w:lang w:val="en-AU"/>
        </w:rPr>
        <w:t>s</w:t>
      </w:r>
      <w:r w:rsidR="0010582F" w:rsidRPr="00D20A0E">
        <w:rPr>
          <w:rFonts w:ascii="Calibri" w:eastAsia="Times" w:hAnsi="Calibri" w:cs="Calibri"/>
          <w:bCs/>
          <w:sz w:val="24"/>
          <w:szCs w:val="24"/>
          <w:lang w:val="en-AU"/>
        </w:rPr>
        <w:t xml:space="preserve"> it could</w:t>
      </w:r>
      <w:r w:rsidR="00026984">
        <w:rPr>
          <w:rFonts w:ascii="Calibri" w:eastAsia="Times" w:hAnsi="Calibri" w:cs="Calibri"/>
          <w:bCs/>
          <w:sz w:val="24"/>
          <w:szCs w:val="24"/>
          <w:lang w:val="en-AU"/>
        </w:rPr>
        <w:t xml:space="preserve"> not</w:t>
      </w:r>
      <w:r w:rsidR="0010582F" w:rsidRPr="00D20A0E">
        <w:rPr>
          <w:rFonts w:ascii="Calibri" w:eastAsia="Times" w:hAnsi="Calibri" w:cs="Calibri"/>
          <w:bCs/>
          <w:sz w:val="24"/>
          <w:szCs w:val="24"/>
          <w:lang w:val="en-AU"/>
        </w:rPr>
        <w:t xml:space="preserve"> conclude fairly or reasonably that conduct committed </w:t>
      </w:r>
      <w:r w:rsidR="00424B9D">
        <w:rPr>
          <w:rFonts w:ascii="Calibri" w:eastAsia="Times" w:hAnsi="Calibri" w:cs="Calibri"/>
          <w:bCs/>
          <w:sz w:val="24"/>
          <w:szCs w:val="24"/>
          <w:lang w:val="en-AU"/>
        </w:rPr>
        <w:t xml:space="preserve">(or omitted) </w:t>
      </w:r>
      <w:r w:rsidR="0010582F" w:rsidRPr="00D20A0E">
        <w:rPr>
          <w:rFonts w:ascii="Calibri" w:eastAsia="Times" w:hAnsi="Calibri" w:cs="Calibri"/>
          <w:bCs/>
          <w:sz w:val="24"/>
          <w:szCs w:val="24"/>
          <w:lang w:val="en-AU"/>
        </w:rPr>
        <w:t>by a person in the course of their work before they</w:t>
      </w:r>
      <w:r w:rsidR="00C86226">
        <w:rPr>
          <w:rFonts w:ascii="Calibri" w:eastAsia="Times" w:hAnsi="Calibri" w:cs="Calibri"/>
          <w:bCs/>
          <w:sz w:val="24"/>
          <w:szCs w:val="24"/>
          <w:lang w:val="en-AU"/>
        </w:rPr>
        <w:t xml:space="preserve"> became a member of the registered social work profession</w:t>
      </w:r>
      <w:r w:rsidR="006D2A19">
        <w:rPr>
          <w:rFonts w:ascii="Calibri" w:eastAsia="Times" w:hAnsi="Calibri" w:cs="Calibri"/>
          <w:bCs/>
          <w:sz w:val="24"/>
          <w:szCs w:val="24"/>
          <w:lang w:val="en-AU"/>
        </w:rPr>
        <w:t>, could amount to professional misconduct</w:t>
      </w:r>
      <w:r w:rsidR="007663B7">
        <w:rPr>
          <w:rFonts w:ascii="Calibri" w:eastAsia="Times" w:hAnsi="Calibri" w:cs="Calibri"/>
          <w:bCs/>
          <w:sz w:val="24"/>
          <w:szCs w:val="24"/>
          <w:lang w:val="en-AU"/>
        </w:rPr>
        <w:t xml:space="preserve"> as defined in section </w:t>
      </w:r>
      <w:r w:rsidR="009E05CF">
        <w:rPr>
          <w:rFonts w:ascii="Calibri" w:eastAsia="Times" w:hAnsi="Calibri" w:cs="Calibri"/>
          <w:bCs/>
          <w:sz w:val="24"/>
          <w:szCs w:val="24"/>
          <w:lang w:val="en-AU"/>
        </w:rPr>
        <w:t>82(2)</w:t>
      </w:r>
      <w:r w:rsidR="009E61D4">
        <w:rPr>
          <w:rFonts w:ascii="Calibri" w:eastAsia="Times" w:hAnsi="Calibri" w:cs="Calibri"/>
          <w:bCs/>
          <w:sz w:val="24"/>
          <w:szCs w:val="24"/>
          <w:lang w:val="en-AU"/>
        </w:rPr>
        <w:t xml:space="preserve"> or ‘conduct unbecoming’</w:t>
      </w:r>
      <w:r w:rsidR="00604F19">
        <w:rPr>
          <w:rFonts w:ascii="Calibri" w:eastAsia="Times" w:hAnsi="Calibri" w:cs="Calibri"/>
          <w:bCs/>
          <w:sz w:val="24"/>
          <w:szCs w:val="24"/>
          <w:lang w:val="en-AU"/>
        </w:rPr>
        <w:t>.</w:t>
      </w:r>
      <w:r w:rsidR="006D2A19">
        <w:rPr>
          <w:rFonts w:ascii="Calibri" w:eastAsia="Times" w:hAnsi="Calibri" w:cs="Calibri"/>
          <w:bCs/>
          <w:sz w:val="24"/>
          <w:szCs w:val="24"/>
          <w:lang w:val="en-AU"/>
        </w:rPr>
        <w:t xml:space="preserve"> </w:t>
      </w:r>
      <w:r w:rsidR="006D667D">
        <w:rPr>
          <w:rFonts w:ascii="Calibri" w:eastAsia="Times" w:hAnsi="Calibri" w:cs="Calibri"/>
          <w:bCs/>
          <w:sz w:val="24"/>
          <w:szCs w:val="24"/>
          <w:lang w:val="en-AU"/>
        </w:rPr>
        <w:t>Such</w:t>
      </w:r>
      <w:r w:rsidR="006D2A19">
        <w:rPr>
          <w:rFonts w:ascii="Calibri" w:eastAsia="Times" w:hAnsi="Calibri" w:cs="Calibri"/>
          <w:bCs/>
          <w:sz w:val="24"/>
          <w:szCs w:val="24"/>
          <w:lang w:val="en-AU"/>
        </w:rPr>
        <w:t xml:space="preserve"> conduct </w:t>
      </w:r>
      <w:r w:rsidR="006D667D">
        <w:rPr>
          <w:rFonts w:ascii="Calibri" w:eastAsia="Times" w:hAnsi="Calibri" w:cs="Calibri"/>
          <w:bCs/>
          <w:sz w:val="24"/>
          <w:szCs w:val="24"/>
          <w:lang w:val="en-AU"/>
        </w:rPr>
        <w:t>could not be said to have been</w:t>
      </w:r>
      <w:r w:rsidR="006D2A19">
        <w:rPr>
          <w:rFonts w:ascii="Calibri" w:eastAsia="Times" w:hAnsi="Calibri" w:cs="Calibri"/>
          <w:bCs/>
          <w:sz w:val="24"/>
          <w:szCs w:val="24"/>
          <w:lang w:val="en-AU"/>
        </w:rPr>
        <w:t xml:space="preserve"> a falling short of acceptable</w:t>
      </w:r>
      <w:r w:rsidR="00DA33CF">
        <w:rPr>
          <w:rFonts w:ascii="Calibri" w:eastAsia="Times" w:hAnsi="Calibri" w:cs="Calibri"/>
          <w:bCs/>
          <w:sz w:val="24"/>
          <w:szCs w:val="24"/>
          <w:lang w:val="en-AU"/>
        </w:rPr>
        <w:t xml:space="preserve"> or expected professional</w:t>
      </w:r>
      <w:r w:rsidR="006D2A19">
        <w:rPr>
          <w:rFonts w:ascii="Calibri" w:eastAsia="Times" w:hAnsi="Calibri" w:cs="Calibri"/>
          <w:bCs/>
          <w:sz w:val="24"/>
          <w:szCs w:val="24"/>
          <w:lang w:val="en-AU"/>
        </w:rPr>
        <w:t xml:space="preserve"> standards for</w:t>
      </w:r>
      <w:r w:rsidR="00672ACF">
        <w:rPr>
          <w:rFonts w:ascii="Calibri" w:eastAsia="Times" w:hAnsi="Calibri" w:cs="Calibri"/>
          <w:bCs/>
          <w:sz w:val="24"/>
          <w:szCs w:val="24"/>
          <w:lang w:val="en-AU"/>
        </w:rPr>
        <w:t xml:space="preserve"> a social worker, when th</w:t>
      </w:r>
      <w:r w:rsidR="00DA33CF">
        <w:rPr>
          <w:rFonts w:ascii="Calibri" w:eastAsia="Times" w:hAnsi="Calibri" w:cs="Calibri"/>
          <w:bCs/>
          <w:sz w:val="24"/>
          <w:szCs w:val="24"/>
          <w:lang w:val="en-AU"/>
        </w:rPr>
        <w:t>e relevant</w:t>
      </w:r>
      <w:r w:rsidR="00672ACF">
        <w:rPr>
          <w:rFonts w:ascii="Calibri" w:eastAsia="Times" w:hAnsi="Calibri" w:cs="Calibri"/>
          <w:bCs/>
          <w:sz w:val="24"/>
          <w:szCs w:val="24"/>
          <w:lang w:val="en-AU"/>
        </w:rPr>
        <w:t xml:space="preserve"> standards</w:t>
      </w:r>
      <w:r w:rsidR="000F05B2">
        <w:rPr>
          <w:rFonts w:ascii="Calibri" w:eastAsia="Times" w:hAnsi="Calibri" w:cs="Calibri"/>
          <w:bCs/>
          <w:sz w:val="24"/>
          <w:szCs w:val="24"/>
          <w:lang w:val="en-AU"/>
        </w:rPr>
        <w:t xml:space="preserve"> against which the conduct must be assessed</w:t>
      </w:r>
      <w:r w:rsidR="00672ACF">
        <w:rPr>
          <w:rFonts w:ascii="Calibri" w:eastAsia="Times" w:hAnsi="Calibri" w:cs="Calibri"/>
          <w:bCs/>
          <w:sz w:val="24"/>
          <w:szCs w:val="24"/>
          <w:lang w:val="en-AU"/>
        </w:rPr>
        <w:t xml:space="preserve"> were those</w:t>
      </w:r>
      <w:r w:rsidR="00DA33CF">
        <w:rPr>
          <w:rFonts w:ascii="Calibri" w:eastAsia="Times" w:hAnsi="Calibri" w:cs="Calibri"/>
          <w:bCs/>
          <w:sz w:val="24"/>
          <w:szCs w:val="24"/>
          <w:lang w:val="en-AU"/>
        </w:rPr>
        <w:t xml:space="preserve"> enforceable</w:t>
      </w:r>
      <w:r w:rsidR="004329A1">
        <w:rPr>
          <w:rFonts w:ascii="Calibri" w:eastAsia="Times" w:hAnsi="Calibri" w:cs="Calibri"/>
          <w:bCs/>
          <w:sz w:val="24"/>
          <w:szCs w:val="24"/>
          <w:lang w:val="en-AU"/>
        </w:rPr>
        <w:t xml:space="preserve"> </w:t>
      </w:r>
      <w:r w:rsidR="000F05B2">
        <w:rPr>
          <w:rFonts w:ascii="Calibri" w:eastAsia="Times" w:hAnsi="Calibri" w:cs="Calibri"/>
          <w:bCs/>
          <w:sz w:val="24"/>
          <w:szCs w:val="24"/>
          <w:lang w:val="en-AU"/>
        </w:rPr>
        <w:t>against</w:t>
      </w:r>
      <w:r w:rsidR="00D967D9">
        <w:rPr>
          <w:rFonts w:ascii="Calibri" w:eastAsia="Times" w:hAnsi="Calibri" w:cs="Calibri"/>
          <w:bCs/>
          <w:sz w:val="24"/>
          <w:szCs w:val="24"/>
          <w:lang w:val="en-AU"/>
        </w:rPr>
        <w:t xml:space="preserve"> only</w:t>
      </w:r>
      <w:r w:rsidR="000F05B2">
        <w:rPr>
          <w:rFonts w:ascii="Calibri" w:eastAsia="Times" w:hAnsi="Calibri" w:cs="Calibri"/>
          <w:bCs/>
          <w:sz w:val="24"/>
          <w:szCs w:val="24"/>
          <w:lang w:val="en-AU"/>
        </w:rPr>
        <w:t xml:space="preserve"> registered social workers</w:t>
      </w:r>
      <w:r w:rsidR="00672ACF">
        <w:rPr>
          <w:rFonts w:ascii="Calibri" w:eastAsia="Times" w:hAnsi="Calibri" w:cs="Calibri"/>
          <w:bCs/>
          <w:sz w:val="24"/>
          <w:szCs w:val="24"/>
          <w:lang w:val="en-AU"/>
        </w:rPr>
        <w:t>.</w:t>
      </w:r>
    </w:p>
    <w:p w14:paraId="6A352EE9" w14:textId="124570F2" w:rsidR="00F214E7" w:rsidRDefault="00F214E7" w:rsidP="00F214E7">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Tribunal takes the view that were it to have jurisdiction over a social worker’s conduct </w:t>
      </w:r>
      <w:r w:rsidR="005A0077">
        <w:rPr>
          <w:rFonts w:ascii="Calibri" w:eastAsia="Times" w:hAnsi="Calibri" w:cs="Calibri"/>
          <w:bCs/>
          <w:sz w:val="24"/>
          <w:szCs w:val="24"/>
          <w:lang w:val="en-AU"/>
        </w:rPr>
        <w:t>committed</w:t>
      </w:r>
      <w:r w:rsidR="00D967D9">
        <w:rPr>
          <w:rFonts w:ascii="Calibri" w:eastAsia="Times" w:hAnsi="Calibri" w:cs="Calibri"/>
          <w:bCs/>
          <w:sz w:val="24"/>
          <w:szCs w:val="24"/>
          <w:lang w:val="en-AU"/>
        </w:rPr>
        <w:t xml:space="preserve"> entirely and</w:t>
      </w:r>
      <w:r w:rsidR="004329A1">
        <w:rPr>
          <w:rFonts w:ascii="Calibri" w:eastAsia="Times" w:hAnsi="Calibri" w:cs="Calibri"/>
          <w:bCs/>
          <w:sz w:val="24"/>
          <w:szCs w:val="24"/>
          <w:lang w:val="en-AU"/>
        </w:rPr>
        <w:t xml:space="preserve"> exclusively</w:t>
      </w:r>
      <w:r w:rsidR="005A0077">
        <w:rPr>
          <w:rFonts w:ascii="Calibri" w:eastAsia="Times" w:hAnsi="Calibri" w:cs="Calibri"/>
          <w:bCs/>
          <w:sz w:val="24"/>
          <w:szCs w:val="24"/>
          <w:lang w:val="en-AU"/>
        </w:rPr>
        <w:t xml:space="preserve"> </w:t>
      </w:r>
      <w:r>
        <w:rPr>
          <w:rFonts w:ascii="Calibri" w:eastAsia="Times" w:hAnsi="Calibri" w:cs="Calibri"/>
          <w:bCs/>
          <w:sz w:val="24"/>
          <w:szCs w:val="24"/>
          <w:lang w:val="en-AU"/>
        </w:rPr>
        <w:t>prior to registration, this would lead to an absurd result as a social worker could be found guilty of professional misconduct or ‘conduct unbecoming’ for pre-registration conduct that occurred what could be months or even years ago, at a time when they were not committing a disciplinary offence becaus</w:t>
      </w:r>
      <w:r w:rsidR="00824BCC">
        <w:rPr>
          <w:rFonts w:ascii="Calibri" w:eastAsia="Times" w:hAnsi="Calibri" w:cs="Calibri"/>
          <w:bCs/>
          <w:sz w:val="24"/>
          <w:szCs w:val="24"/>
          <w:lang w:val="en-AU"/>
        </w:rPr>
        <w:t>e they were not members of the registered social worker profession.</w:t>
      </w:r>
      <w:r>
        <w:rPr>
          <w:rFonts w:ascii="Calibri" w:eastAsia="Times" w:hAnsi="Calibri" w:cs="Calibri"/>
          <w:bCs/>
          <w:sz w:val="24"/>
          <w:szCs w:val="24"/>
          <w:lang w:val="en-AU"/>
        </w:rPr>
        <w:t xml:space="preserve"> </w:t>
      </w:r>
      <w:r w:rsidR="00712573">
        <w:rPr>
          <w:rFonts w:ascii="Calibri" w:eastAsia="Times" w:hAnsi="Calibri" w:cs="Calibri"/>
          <w:bCs/>
          <w:sz w:val="24"/>
          <w:szCs w:val="24"/>
          <w:lang w:val="en-AU"/>
        </w:rPr>
        <w:t>Further</w:t>
      </w:r>
      <w:r w:rsidR="00D74605">
        <w:rPr>
          <w:rFonts w:ascii="Calibri" w:eastAsia="Times" w:hAnsi="Calibri" w:cs="Calibri"/>
          <w:bCs/>
          <w:sz w:val="24"/>
          <w:szCs w:val="24"/>
          <w:lang w:val="en-AU"/>
        </w:rPr>
        <w:t>, with mandatory registration imminent, there is the potential for this to open the floodgates</w:t>
      </w:r>
      <w:r w:rsidR="008E7C2F">
        <w:rPr>
          <w:rFonts w:ascii="Calibri" w:eastAsia="Times" w:hAnsi="Calibri" w:cs="Calibri"/>
          <w:bCs/>
          <w:sz w:val="24"/>
          <w:szCs w:val="24"/>
          <w:lang w:val="en-AU"/>
        </w:rPr>
        <w:t xml:space="preserve"> of complaints and disciplinary proceedings</w:t>
      </w:r>
      <w:r w:rsidR="002A0FDD">
        <w:rPr>
          <w:rFonts w:ascii="Calibri" w:eastAsia="Times" w:hAnsi="Calibri" w:cs="Calibri"/>
          <w:bCs/>
          <w:sz w:val="24"/>
          <w:szCs w:val="24"/>
          <w:lang w:val="en-AU"/>
        </w:rPr>
        <w:t>.</w:t>
      </w:r>
      <w:r w:rsidR="0002096F">
        <w:rPr>
          <w:rFonts w:ascii="Calibri" w:eastAsia="Times" w:hAnsi="Calibri" w:cs="Calibri"/>
          <w:bCs/>
          <w:sz w:val="24"/>
          <w:szCs w:val="24"/>
          <w:lang w:val="en-AU"/>
        </w:rPr>
        <w:t xml:space="preserve"> As discussed below,</w:t>
      </w:r>
      <w:r w:rsidR="002A0FDD">
        <w:rPr>
          <w:rFonts w:ascii="Calibri" w:eastAsia="Times" w:hAnsi="Calibri" w:cs="Calibri"/>
          <w:bCs/>
          <w:sz w:val="24"/>
          <w:szCs w:val="24"/>
          <w:lang w:val="en-AU"/>
        </w:rPr>
        <w:t xml:space="preserve"> </w:t>
      </w:r>
      <w:r w:rsidR="0002096F">
        <w:rPr>
          <w:rFonts w:ascii="Calibri" w:eastAsia="Times" w:hAnsi="Calibri" w:cs="Calibri"/>
          <w:bCs/>
          <w:sz w:val="24"/>
          <w:szCs w:val="24"/>
          <w:lang w:val="en-AU"/>
        </w:rPr>
        <w:t>t</w:t>
      </w:r>
      <w:r w:rsidR="002A0FDD">
        <w:rPr>
          <w:rFonts w:ascii="Calibri" w:eastAsia="Times" w:hAnsi="Calibri" w:cs="Calibri"/>
          <w:bCs/>
          <w:sz w:val="24"/>
          <w:szCs w:val="24"/>
          <w:lang w:val="en-AU"/>
        </w:rPr>
        <w:t>his is a significant public policy reason why</w:t>
      </w:r>
      <w:r w:rsidR="00F37460">
        <w:rPr>
          <w:rFonts w:ascii="Calibri" w:eastAsia="Times" w:hAnsi="Calibri" w:cs="Calibri"/>
          <w:bCs/>
          <w:sz w:val="24"/>
          <w:szCs w:val="24"/>
          <w:lang w:val="en-AU"/>
        </w:rPr>
        <w:t>, without a clearly expressed intention,</w:t>
      </w:r>
      <w:r w:rsidR="002A0FDD">
        <w:rPr>
          <w:rFonts w:ascii="Calibri" w:eastAsia="Times" w:hAnsi="Calibri" w:cs="Calibri"/>
          <w:bCs/>
          <w:sz w:val="24"/>
          <w:szCs w:val="24"/>
          <w:lang w:val="en-AU"/>
        </w:rPr>
        <w:t xml:space="preserve"> it cannot have been Parliament’s intention to capture con</w:t>
      </w:r>
      <w:r w:rsidR="00B40D31">
        <w:rPr>
          <w:rFonts w:ascii="Calibri" w:eastAsia="Times" w:hAnsi="Calibri" w:cs="Calibri"/>
          <w:bCs/>
          <w:sz w:val="24"/>
          <w:szCs w:val="24"/>
          <w:lang w:val="en-AU"/>
        </w:rPr>
        <w:t xml:space="preserve">duct entirely and exclusively </w:t>
      </w:r>
      <w:r w:rsidR="00B40D31">
        <w:rPr>
          <w:rFonts w:ascii="Calibri" w:eastAsia="Times" w:hAnsi="Calibri" w:cs="Calibri"/>
          <w:bCs/>
          <w:sz w:val="24"/>
          <w:szCs w:val="24"/>
          <w:lang w:val="en-AU"/>
        </w:rPr>
        <w:lastRenderedPageBreak/>
        <w:t>committed or omitted prior to a person’s registration, at least in terms of the Tribunal’s disciplinary powers under section 82(1)(a) and(b).</w:t>
      </w:r>
      <w:r w:rsidR="00D74605">
        <w:rPr>
          <w:rFonts w:ascii="Calibri" w:eastAsia="Times" w:hAnsi="Calibri" w:cs="Calibri"/>
          <w:bCs/>
          <w:sz w:val="24"/>
          <w:szCs w:val="24"/>
          <w:lang w:val="en-AU"/>
        </w:rPr>
        <w:t xml:space="preserve"> </w:t>
      </w:r>
    </w:p>
    <w:p w14:paraId="1529EA6D" w14:textId="2C986F73" w:rsidR="009620EA" w:rsidRPr="00F214E7" w:rsidRDefault="009620EA" w:rsidP="00F214E7">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Without prejudice to those points the following </w:t>
      </w:r>
      <w:r w:rsidR="006C166E">
        <w:rPr>
          <w:rFonts w:ascii="Calibri" w:eastAsia="Times" w:hAnsi="Calibri" w:cs="Calibri"/>
          <w:bCs/>
          <w:sz w:val="24"/>
          <w:szCs w:val="24"/>
          <w:lang w:val="en-AU"/>
        </w:rPr>
        <w:t>matters are noted.</w:t>
      </w:r>
      <w:r w:rsidR="00BA5572">
        <w:rPr>
          <w:rFonts w:ascii="Calibri" w:eastAsia="Times" w:hAnsi="Calibri" w:cs="Calibri"/>
          <w:bCs/>
          <w:sz w:val="24"/>
          <w:szCs w:val="24"/>
          <w:lang w:val="en-AU"/>
        </w:rPr>
        <w:t xml:space="preserve"> There is assistance derived from the legislation governing other professional disciplines, given close similarities and differences in legislation and the benefit that can be derived from the significant body of authority that has been collected as a consequence of mandatory registration and the disciplinary procedures prescribed by those other Acts. </w:t>
      </w:r>
    </w:p>
    <w:p w14:paraId="78E35210" w14:textId="6AE7660B" w:rsidR="00A9362F" w:rsidRDefault="00BC4FC3" w:rsidP="00D45920">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sidRPr="009B0E97">
        <w:rPr>
          <w:rFonts w:ascii="Calibri" w:eastAsia="Times" w:hAnsi="Calibri" w:cs="Calibri"/>
          <w:bCs/>
          <w:sz w:val="24"/>
          <w:szCs w:val="24"/>
          <w:lang w:val="en-AU"/>
        </w:rPr>
        <w:t xml:space="preserve">Unlike the situation as it is under the Health Practitioners Competence Assurance 2003 in respect of health practitioners, </w:t>
      </w:r>
      <w:r w:rsidR="008F0245" w:rsidRPr="009B0E97">
        <w:rPr>
          <w:rFonts w:ascii="Calibri" w:eastAsia="Times" w:hAnsi="Calibri" w:cs="Calibri"/>
          <w:bCs/>
          <w:sz w:val="24"/>
          <w:szCs w:val="24"/>
          <w:lang w:val="en-AU"/>
        </w:rPr>
        <w:t>the Education and Training Act 2020 (previously the Education Act 1989)</w:t>
      </w:r>
      <w:r w:rsidR="00A3634E" w:rsidRPr="009B0E97">
        <w:rPr>
          <w:rFonts w:ascii="Calibri" w:eastAsia="Times" w:hAnsi="Calibri" w:cs="Calibri"/>
          <w:bCs/>
          <w:sz w:val="24"/>
          <w:szCs w:val="24"/>
          <w:lang w:val="en-AU"/>
        </w:rPr>
        <w:t xml:space="preserve"> in respect of teachers</w:t>
      </w:r>
      <w:r w:rsidR="008F0245" w:rsidRPr="009B0E97">
        <w:rPr>
          <w:rFonts w:ascii="Calibri" w:eastAsia="Times" w:hAnsi="Calibri" w:cs="Calibri"/>
          <w:bCs/>
          <w:sz w:val="24"/>
          <w:szCs w:val="24"/>
          <w:lang w:val="en-AU"/>
        </w:rPr>
        <w:t xml:space="preserve"> </w:t>
      </w:r>
      <w:r w:rsidR="00A3634E" w:rsidRPr="009B0E97">
        <w:rPr>
          <w:rFonts w:ascii="Calibri" w:eastAsia="Times" w:hAnsi="Calibri" w:cs="Calibri"/>
          <w:bCs/>
          <w:sz w:val="24"/>
          <w:szCs w:val="24"/>
          <w:lang w:val="en-AU"/>
        </w:rPr>
        <w:t xml:space="preserve">and the Real Estate Agents Act 2008 in respect of real estate agents, </w:t>
      </w:r>
      <w:r w:rsidRPr="009B0E97">
        <w:rPr>
          <w:rFonts w:ascii="Calibri" w:eastAsia="Times" w:hAnsi="Calibri" w:cs="Calibri"/>
          <w:bCs/>
          <w:sz w:val="24"/>
          <w:szCs w:val="24"/>
          <w:lang w:val="en-AU"/>
        </w:rPr>
        <w:t>there is no specific provision in the SWR Act that provides that the Tribunal ha</w:t>
      </w:r>
      <w:r w:rsidR="002D63F1" w:rsidRPr="009B0E97">
        <w:rPr>
          <w:rFonts w:ascii="Calibri" w:eastAsia="Times" w:hAnsi="Calibri" w:cs="Calibri"/>
          <w:bCs/>
          <w:sz w:val="24"/>
          <w:szCs w:val="24"/>
          <w:lang w:val="en-AU"/>
        </w:rPr>
        <w:t>s</w:t>
      </w:r>
      <w:r w:rsidRPr="009B0E97">
        <w:rPr>
          <w:rFonts w:ascii="Calibri" w:eastAsia="Times" w:hAnsi="Calibri" w:cs="Calibri"/>
          <w:bCs/>
          <w:sz w:val="24"/>
          <w:szCs w:val="24"/>
          <w:lang w:val="en-AU"/>
        </w:rPr>
        <w:t xml:space="preserve"> jurisdiction to discipline “former social workers”</w:t>
      </w:r>
      <w:r w:rsidR="00267F6B">
        <w:rPr>
          <w:rFonts w:ascii="Calibri" w:eastAsia="Times" w:hAnsi="Calibri" w:cs="Calibri"/>
          <w:bCs/>
          <w:sz w:val="24"/>
          <w:szCs w:val="24"/>
          <w:lang w:val="en-AU"/>
        </w:rPr>
        <w:t xml:space="preserve"> (meaning former </w:t>
      </w:r>
      <w:r w:rsidR="00267F6B" w:rsidRPr="00267F6B">
        <w:rPr>
          <w:rFonts w:ascii="Calibri" w:eastAsia="Times" w:hAnsi="Calibri" w:cs="Calibri"/>
          <w:bCs/>
          <w:i/>
          <w:iCs/>
          <w:sz w:val="24"/>
          <w:szCs w:val="24"/>
          <w:lang w:val="en-AU"/>
        </w:rPr>
        <w:t xml:space="preserve">registered </w:t>
      </w:r>
      <w:r w:rsidR="00267F6B">
        <w:rPr>
          <w:rFonts w:ascii="Calibri" w:eastAsia="Times" w:hAnsi="Calibri" w:cs="Calibri"/>
          <w:bCs/>
          <w:sz w:val="24"/>
          <w:szCs w:val="24"/>
          <w:lang w:val="en-AU"/>
        </w:rPr>
        <w:t>social workers)</w:t>
      </w:r>
      <w:r w:rsidR="00223B15" w:rsidRPr="009B0E97">
        <w:rPr>
          <w:rFonts w:ascii="Calibri" w:eastAsia="Times" w:hAnsi="Calibri" w:cs="Calibri"/>
          <w:bCs/>
          <w:sz w:val="24"/>
          <w:szCs w:val="24"/>
          <w:lang w:val="en-AU"/>
        </w:rPr>
        <w:t xml:space="preserve">. </w:t>
      </w:r>
      <w:r w:rsidR="00392303">
        <w:rPr>
          <w:rFonts w:ascii="Calibri" w:eastAsia="Times" w:hAnsi="Calibri" w:cs="Calibri"/>
          <w:bCs/>
          <w:sz w:val="24"/>
          <w:szCs w:val="24"/>
          <w:lang w:val="en-AU"/>
        </w:rPr>
        <w:t xml:space="preserve">This appears to the Tribunal to be a significant “gap” in the </w:t>
      </w:r>
      <w:r w:rsidR="002E2D34">
        <w:rPr>
          <w:rFonts w:ascii="Calibri" w:eastAsia="Times" w:hAnsi="Calibri" w:cs="Calibri"/>
          <w:bCs/>
          <w:sz w:val="24"/>
          <w:szCs w:val="24"/>
          <w:lang w:val="en-AU"/>
        </w:rPr>
        <w:t>regulatory scheme governing social workers</w:t>
      </w:r>
      <w:r w:rsidR="00392303">
        <w:rPr>
          <w:rFonts w:ascii="Calibri" w:eastAsia="Times" w:hAnsi="Calibri" w:cs="Calibri"/>
          <w:bCs/>
          <w:sz w:val="24"/>
          <w:szCs w:val="24"/>
          <w:lang w:val="en-AU"/>
        </w:rPr>
        <w:t xml:space="preserve"> which only Parliament can fill by amending the Act. In any event, t</w:t>
      </w:r>
      <w:r w:rsidR="00223B15" w:rsidRPr="009B0E97">
        <w:rPr>
          <w:rFonts w:ascii="Calibri" w:eastAsia="Times" w:hAnsi="Calibri" w:cs="Calibri"/>
          <w:bCs/>
          <w:sz w:val="24"/>
          <w:szCs w:val="24"/>
          <w:lang w:val="en-AU"/>
        </w:rPr>
        <w:t>he</w:t>
      </w:r>
      <w:r w:rsidR="00590A5B" w:rsidRPr="009B0E97">
        <w:rPr>
          <w:rFonts w:ascii="Calibri" w:eastAsia="Times" w:hAnsi="Calibri" w:cs="Calibri"/>
          <w:bCs/>
          <w:sz w:val="24"/>
          <w:szCs w:val="24"/>
          <w:lang w:val="en-AU"/>
        </w:rPr>
        <w:t xml:space="preserve"> Tribunal considers that the</w:t>
      </w:r>
      <w:r w:rsidR="00223B15" w:rsidRPr="009B0E97">
        <w:rPr>
          <w:rFonts w:ascii="Calibri" w:eastAsia="Times" w:hAnsi="Calibri" w:cs="Calibri"/>
          <w:bCs/>
          <w:sz w:val="24"/>
          <w:szCs w:val="24"/>
          <w:lang w:val="en-AU"/>
        </w:rPr>
        <w:t xml:space="preserve"> </w:t>
      </w:r>
      <w:r w:rsidR="00BA2D23" w:rsidRPr="009B0E97">
        <w:rPr>
          <w:rFonts w:ascii="Calibri" w:eastAsia="Times" w:hAnsi="Calibri" w:cs="Calibri"/>
          <w:bCs/>
          <w:sz w:val="24"/>
          <w:szCs w:val="24"/>
          <w:lang w:val="en-AU"/>
        </w:rPr>
        <w:t>exclusion</w:t>
      </w:r>
      <w:r w:rsidR="00223B15" w:rsidRPr="009B0E97">
        <w:rPr>
          <w:rFonts w:ascii="Calibri" w:eastAsia="Times" w:hAnsi="Calibri" w:cs="Calibri"/>
          <w:bCs/>
          <w:sz w:val="24"/>
          <w:szCs w:val="24"/>
          <w:lang w:val="en-AU"/>
        </w:rPr>
        <w:t xml:space="preserve"> of “former social worker” </w:t>
      </w:r>
      <w:r w:rsidR="000B20F3" w:rsidRPr="009B0E97">
        <w:rPr>
          <w:rFonts w:ascii="Calibri" w:eastAsia="Times" w:hAnsi="Calibri" w:cs="Calibri"/>
          <w:bCs/>
          <w:sz w:val="24"/>
          <w:szCs w:val="24"/>
          <w:lang w:val="en-AU"/>
        </w:rPr>
        <w:t xml:space="preserve">from </w:t>
      </w:r>
      <w:r w:rsidR="00223B15" w:rsidRPr="009B0E97">
        <w:rPr>
          <w:rFonts w:ascii="Calibri" w:eastAsia="Times" w:hAnsi="Calibri" w:cs="Calibri"/>
          <w:bCs/>
          <w:sz w:val="24"/>
          <w:szCs w:val="24"/>
          <w:lang w:val="en-AU"/>
        </w:rPr>
        <w:t xml:space="preserve">the definition of “social worker” in section 4 indicates that it was Parliament’s intention that </w:t>
      </w:r>
      <w:r w:rsidR="008C10DB" w:rsidRPr="009B0E97">
        <w:rPr>
          <w:rFonts w:ascii="Calibri" w:eastAsia="Times" w:hAnsi="Calibri" w:cs="Calibri"/>
          <w:bCs/>
          <w:sz w:val="24"/>
          <w:szCs w:val="24"/>
          <w:lang w:val="en-AU"/>
        </w:rPr>
        <w:t xml:space="preserve">the Tribunal </w:t>
      </w:r>
      <w:r w:rsidR="00BC063C" w:rsidRPr="009B0E97">
        <w:rPr>
          <w:rFonts w:ascii="Calibri" w:eastAsia="Times" w:hAnsi="Calibri" w:cs="Calibri"/>
          <w:bCs/>
          <w:sz w:val="24"/>
          <w:szCs w:val="24"/>
          <w:lang w:val="en-AU"/>
        </w:rPr>
        <w:t>may only</w:t>
      </w:r>
      <w:r w:rsidR="008C10DB" w:rsidRPr="009B0E97">
        <w:rPr>
          <w:rFonts w:ascii="Calibri" w:eastAsia="Times" w:hAnsi="Calibri" w:cs="Calibri"/>
          <w:bCs/>
          <w:sz w:val="24"/>
          <w:szCs w:val="24"/>
          <w:lang w:val="en-AU"/>
        </w:rPr>
        <w:t xml:space="preserve"> exercise its disciplinary powers over</w:t>
      </w:r>
      <w:r w:rsidRPr="009B0E97">
        <w:rPr>
          <w:rFonts w:ascii="Calibri" w:eastAsia="Times" w:hAnsi="Calibri" w:cs="Calibri"/>
          <w:bCs/>
          <w:sz w:val="24"/>
          <w:szCs w:val="24"/>
          <w:lang w:val="en-AU"/>
        </w:rPr>
        <w:t xml:space="preserve"> a </w:t>
      </w:r>
      <w:r w:rsidR="005B7B25" w:rsidRPr="009B0E97">
        <w:rPr>
          <w:rFonts w:ascii="Calibri" w:eastAsia="Times" w:hAnsi="Calibri" w:cs="Calibri"/>
          <w:bCs/>
          <w:sz w:val="24"/>
          <w:szCs w:val="24"/>
          <w:lang w:val="en-AU"/>
        </w:rPr>
        <w:t>social worker</w:t>
      </w:r>
      <w:r w:rsidR="00656151" w:rsidRPr="009B0E97">
        <w:rPr>
          <w:rFonts w:ascii="Calibri" w:eastAsia="Times" w:hAnsi="Calibri" w:cs="Calibri"/>
          <w:bCs/>
          <w:sz w:val="24"/>
          <w:szCs w:val="24"/>
          <w:lang w:val="en-AU"/>
        </w:rPr>
        <w:t xml:space="preserve"> who is currently registered</w:t>
      </w:r>
      <w:r w:rsidR="00A55C46">
        <w:rPr>
          <w:rFonts w:ascii="Calibri" w:eastAsia="Times" w:hAnsi="Calibri" w:cs="Calibri"/>
          <w:bCs/>
          <w:sz w:val="24"/>
          <w:szCs w:val="24"/>
          <w:lang w:val="en-AU"/>
        </w:rPr>
        <w:t xml:space="preserve"> or registered under the Act as it was amended from February 2019</w:t>
      </w:r>
      <w:r w:rsidR="00C725E7">
        <w:rPr>
          <w:rFonts w:ascii="Calibri" w:eastAsia="Times" w:hAnsi="Calibri" w:cs="Calibri"/>
          <w:bCs/>
          <w:sz w:val="24"/>
          <w:szCs w:val="24"/>
          <w:lang w:val="en-AU"/>
        </w:rPr>
        <w:t xml:space="preserve">, in respect of conduct in the discharge of their professional obligations as a </w:t>
      </w:r>
      <w:r w:rsidR="00C725E7" w:rsidRPr="0002096F">
        <w:rPr>
          <w:rFonts w:ascii="Calibri" w:eastAsia="Times" w:hAnsi="Calibri" w:cs="Calibri"/>
          <w:bCs/>
          <w:i/>
          <w:iCs/>
          <w:sz w:val="24"/>
          <w:szCs w:val="24"/>
          <w:lang w:val="en-AU"/>
        </w:rPr>
        <w:t xml:space="preserve">registered </w:t>
      </w:r>
      <w:r w:rsidR="00C725E7">
        <w:rPr>
          <w:rFonts w:ascii="Calibri" w:eastAsia="Times" w:hAnsi="Calibri" w:cs="Calibri"/>
          <w:bCs/>
          <w:sz w:val="24"/>
          <w:szCs w:val="24"/>
          <w:lang w:val="en-AU"/>
        </w:rPr>
        <w:t>social worker.</w:t>
      </w:r>
    </w:p>
    <w:p w14:paraId="28E4055E" w14:textId="153C2E9A" w:rsidR="0002012D" w:rsidRDefault="00BA3105" w:rsidP="00BF039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Sections 100(1)(a) and (b) of the Health Practitioners Competence Assurance Act 2003 refer to a practitioner (health practitioner) being guilty of professional misconduct  because of acts or omissions that, in the judgement of the Tribunal amount to malpractice or negligence </w:t>
      </w:r>
      <w:r w:rsidRPr="00BA3105">
        <w:rPr>
          <w:rFonts w:ascii="Calibri" w:eastAsia="Times" w:hAnsi="Calibri" w:cs="Calibri"/>
          <w:bCs/>
          <w:i/>
          <w:iCs/>
          <w:sz w:val="24"/>
          <w:szCs w:val="24"/>
          <w:lang w:val="en-AU"/>
        </w:rPr>
        <w:t>in relation to the scope of practice in respect of which the practitioner was registered at the time that the conduct occurred</w:t>
      </w:r>
      <w:r>
        <w:rPr>
          <w:rFonts w:ascii="Calibri" w:eastAsia="Times" w:hAnsi="Calibri" w:cs="Calibri"/>
          <w:bCs/>
          <w:sz w:val="24"/>
          <w:szCs w:val="24"/>
          <w:lang w:val="en-AU"/>
        </w:rPr>
        <w:t xml:space="preserve">; or because of any act or omission that, in the judgement of the Tribunal, has brought or was likely to bring discredit to </w:t>
      </w:r>
      <w:r w:rsidRPr="00867E0C">
        <w:rPr>
          <w:rFonts w:ascii="Calibri" w:eastAsia="Times" w:hAnsi="Calibri" w:cs="Calibri"/>
          <w:bCs/>
          <w:i/>
          <w:iCs/>
          <w:sz w:val="24"/>
          <w:szCs w:val="24"/>
          <w:lang w:val="en-AU"/>
        </w:rPr>
        <w:t>the profession that the health practitioner practised at the time that the conduct occurred</w:t>
      </w:r>
      <w:r>
        <w:rPr>
          <w:rFonts w:ascii="Calibri" w:eastAsia="Times" w:hAnsi="Calibri" w:cs="Calibri"/>
          <w:bCs/>
          <w:sz w:val="24"/>
          <w:szCs w:val="24"/>
          <w:lang w:val="en-AU"/>
        </w:rPr>
        <w:t xml:space="preserve">. </w:t>
      </w:r>
      <w:r w:rsidR="00867E0C">
        <w:rPr>
          <w:rFonts w:ascii="Calibri" w:eastAsia="Times" w:hAnsi="Calibri" w:cs="Calibri"/>
          <w:bCs/>
          <w:sz w:val="24"/>
          <w:szCs w:val="24"/>
          <w:lang w:val="en-AU"/>
        </w:rPr>
        <w:t>Therefore, at least in relation to conduct liable to disciplinary sanction under sections 100(1)(a) and (b)</w:t>
      </w:r>
      <w:r w:rsidR="00E4035F">
        <w:rPr>
          <w:rFonts w:ascii="Calibri" w:eastAsia="Times" w:hAnsi="Calibri" w:cs="Calibri"/>
          <w:bCs/>
          <w:sz w:val="24"/>
          <w:szCs w:val="24"/>
          <w:lang w:val="en-AU"/>
        </w:rPr>
        <w:t xml:space="preserve"> of that Act</w:t>
      </w:r>
      <w:r w:rsidR="00867E0C">
        <w:rPr>
          <w:rFonts w:ascii="Calibri" w:eastAsia="Times" w:hAnsi="Calibri" w:cs="Calibri"/>
          <w:bCs/>
          <w:sz w:val="24"/>
          <w:szCs w:val="24"/>
          <w:lang w:val="en-AU"/>
        </w:rPr>
        <w:t xml:space="preserve">, </w:t>
      </w:r>
      <w:r w:rsidR="00834BF1">
        <w:rPr>
          <w:rFonts w:ascii="Calibri" w:eastAsia="Times" w:hAnsi="Calibri" w:cs="Calibri"/>
          <w:bCs/>
          <w:sz w:val="24"/>
          <w:szCs w:val="24"/>
          <w:lang w:val="en-AU"/>
        </w:rPr>
        <w:t xml:space="preserve">it is clear on the plain wording of those provisions that </w:t>
      </w:r>
      <w:r w:rsidR="00867E0C">
        <w:rPr>
          <w:rFonts w:ascii="Calibri" w:eastAsia="Times" w:hAnsi="Calibri" w:cs="Calibri"/>
          <w:bCs/>
          <w:sz w:val="24"/>
          <w:szCs w:val="24"/>
          <w:lang w:val="en-AU"/>
        </w:rPr>
        <w:t>the conduct of a health practitioner (or former health practitioner) can only be the subject of a disciplinary charge if, at the time of the conduct in question, the practitioner was registered.</w:t>
      </w:r>
      <w:r w:rsidR="0089320B">
        <w:rPr>
          <w:rFonts w:ascii="Calibri" w:eastAsia="Times" w:hAnsi="Calibri" w:cs="Calibri"/>
          <w:bCs/>
          <w:sz w:val="24"/>
          <w:szCs w:val="24"/>
          <w:lang w:val="en-AU"/>
        </w:rPr>
        <w:t xml:space="preserve"> The </w:t>
      </w:r>
      <w:r w:rsidR="00C476D3">
        <w:rPr>
          <w:rFonts w:ascii="Calibri" w:eastAsia="Times" w:hAnsi="Calibri" w:cs="Calibri"/>
          <w:bCs/>
          <w:sz w:val="24"/>
          <w:szCs w:val="24"/>
          <w:lang w:val="en-AU"/>
        </w:rPr>
        <w:t xml:space="preserve">Tribunal considers that the </w:t>
      </w:r>
      <w:r w:rsidR="0089320B">
        <w:rPr>
          <w:rFonts w:ascii="Calibri" w:eastAsia="Times" w:hAnsi="Calibri" w:cs="Calibri"/>
          <w:bCs/>
          <w:sz w:val="24"/>
          <w:szCs w:val="24"/>
          <w:lang w:val="en-AU"/>
        </w:rPr>
        <w:t>italicised wording</w:t>
      </w:r>
      <w:r w:rsidR="00F43F7D">
        <w:rPr>
          <w:rFonts w:ascii="Calibri" w:eastAsia="Times" w:hAnsi="Calibri" w:cs="Calibri"/>
          <w:bCs/>
          <w:sz w:val="24"/>
          <w:szCs w:val="24"/>
          <w:lang w:val="en-AU"/>
        </w:rPr>
        <w:t xml:space="preserve"> </w:t>
      </w:r>
      <w:r w:rsidR="00C476D3">
        <w:rPr>
          <w:rFonts w:ascii="Calibri" w:eastAsia="Times" w:hAnsi="Calibri" w:cs="Calibri"/>
          <w:bCs/>
          <w:sz w:val="24"/>
          <w:szCs w:val="24"/>
          <w:lang w:val="en-AU"/>
        </w:rPr>
        <w:t xml:space="preserve">above </w:t>
      </w:r>
      <w:r w:rsidR="00F43F7D">
        <w:rPr>
          <w:rFonts w:ascii="Calibri" w:eastAsia="Times" w:hAnsi="Calibri" w:cs="Calibri"/>
          <w:bCs/>
          <w:sz w:val="24"/>
          <w:szCs w:val="24"/>
          <w:lang w:val="en-AU"/>
        </w:rPr>
        <w:lastRenderedPageBreak/>
        <w:t>indicating temporal matters</w:t>
      </w:r>
      <w:r w:rsidR="0089320B">
        <w:rPr>
          <w:rFonts w:ascii="Calibri" w:eastAsia="Times" w:hAnsi="Calibri" w:cs="Calibri"/>
          <w:bCs/>
          <w:sz w:val="24"/>
          <w:szCs w:val="24"/>
          <w:lang w:val="en-AU"/>
        </w:rPr>
        <w:t xml:space="preserve"> </w:t>
      </w:r>
      <w:r w:rsidR="00D74605">
        <w:rPr>
          <w:rFonts w:ascii="Calibri" w:eastAsia="Times" w:hAnsi="Calibri" w:cs="Calibri"/>
          <w:bCs/>
          <w:sz w:val="24"/>
          <w:szCs w:val="24"/>
          <w:lang w:val="en-AU"/>
        </w:rPr>
        <w:t>are</w:t>
      </w:r>
      <w:r w:rsidR="0089320B">
        <w:rPr>
          <w:rFonts w:ascii="Calibri" w:eastAsia="Times" w:hAnsi="Calibri" w:cs="Calibri"/>
          <w:bCs/>
          <w:sz w:val="24"/>
          <w:szCs w:val="24"/>
          <w:lang w:val="en-AU"/>
        </w:rPr>
        <w:t xml:space="preserve"> clearly intended to </w:t>
      </w:r>
      <w:r w:rsidR="00F0015B">
        <w:rPr>
          <w:rFonts w:ascii="Calibri" w:eastAsia="Times" w:hAnsi="Calibri" w:cs="Calibri"/>
          <w:bCs/>
          <w:sz w:val="24"/>
          <w:szCs w:val="24"/>
          <w:lang w:val="en-AU"/>
        </w:rPr>
        <w:t>apply</w:t>
      </w:r>
      <w:r w:rsidR="0089320B">
        <w:rPr>
          <w:rFonts w:ascii="Calibri" w:eastAsia="Times" w:hAnsi="Calibri" w:cs="Calibri"/>
          <w:bCs/>
          <w:sz w:val="24"/>
          <w:szCs w:val="24"/>
          <w:lang w:val="en-AU"/>
        </w:rPr>
        <w:t xml:space="preserve"> t</w:t>
      </w:r>
      <w:r w:rsidR="00A642AB">
        <w:rPr>
          <w:rFonts w:ascii="Calibri" w:eastAsia="Times" w:hAnsi="Calibri" w:cs="Calibri"/>
          <w:bCs/>
          <w:sz w:val="24"/>
          <w:szCs w:val="24"/>
          <w:lang w:val="en-AU"/>
        </w:rPr>
        <w:t>o</w:t>
      </w:r>
      <w:r w:rsidR="0089320B">
        <w:rPr>
          <w:rFonts w:ascii="Calibri" w:eastAsia="Times" w:hAnsi="Calibri" w:cs="Calibri"/>
          <w:bCs/>
          <w:sz w:val="24"/>
          <w:szCs w:val="24"/>
          <w:lang w:val="en-AU"/>
        </w:rPr>
        <w:t xml:space="preserve"> health practitioners </w:t>
      </w:r>
      <w:r w:rsidR="00A642AB">
        <w:rPr>
          <w:rFonts w:ascii="Calibri" w:eastAsia="Times" w:hAnsi="Calibri" w:cs="Calibri"/>
          <w:bCs/>
          <w:sz w:val="24"/>
          <w:szCs w:val="24"/>
          <w:lang w:val="en-AU"/>
        </w:rPr>
        <w:t>(current and forme</w:t>
      </w:r>
      <w:r w:rsidR="000071A1">
        <w:rPr>
          <w:rFonts w:ascii="Calibri" w:eastAsia="Times" w:hAnsi="Calibri" w:cs="Calibri"/>
          <w:bCs/>
          <w:sz w:val="24"/>
          <w:szCs w:val="24"/>
          <w:lang w:val="en-AU"/>
        </w:rPr>
        <w:t>r)</w:t>
      </w:r>
      <w:r w:rsidR="0089320B">
        <w:rPr>
          <w:rFonts w:ascii="Calibri" w:eastAsia="Times" w:hAnsi="Calibri" w:cs="Calibri"/>
          <w:bCs/>
          <w:sz w:val="24"/>
          <w:szCs w:val="24"/>
          <w:lang w:val="en-AU"/>
        </w:rPr>
        <w:t xml:space="preserve"> who may, at the time of the hearing of a charge laid against</w:t>
      </w:r>
      <w:r w:rsidR="00E02735">
        <w:rPr>
          <w:rFonts w:ascii="Calibri" w:eastAsia="Times" w:hAnsi="Calibri" w:cs="Calibri"/>
          <w:bCs/>
          <w:sz w:val="24"/>
          <w:szCs w:val="24"/>
          <w:lang w:val="en-AU"/>
        </w:rPr>
        <w:t xml:space="preserve"> them</w:t>
      </w:r>
      <w:r w:rsidR="0089320B">
        <w:rPr>
          <w:rFonts w:ascii="Calibri" w:eastAsia="Times" w:hAnsi="Calibri" w:cs="Calibri"/>
          <w:bCs/>
          <w:sz w:val="24"/>
          <w:szCs w:val="24"/>
          <w:lang w:val="en-AU"/>
        </w:rPr>
        <w:t>, be practising in a different scope of practi</w:t>
      </w:r>
      <w:r w:rsidR="00D37F9E">
        <w:rPr>
          <w:rFonts w:ascii="Calibri" w:eastAsia="Times" w:hAnsi="Calibri" w:cs="Calibri"/>
          <w:bCs/>
          <w:sz w:val="24"/>
          <w:szCs w:val="24"/>
          <w:lang w:val="en-AU"/>
        </w:rPr>
        <w:t>c</w:t>
      </w:r>
      <w:r w:rsidR="0089320B">
        <w:rPr>
          <w:rFonts w:ascii="Calibri" w:eastAsia="Times" w:hAnsi="Calibri" w:cs="Calibri"/>
          <w:bCs/>
          <w:sz w:val="24"/>
          <w:szCs w:val="24"/>
          <w:lang w:val="en-AU"/>
        </w:rPr>
        <w:t>e or in a different health profession than they were at the time of the alleged conduct charged</w:t>
      </w:r>
      <w:r w:rsidR="00961743">
        <w:rPr>
          <w:rFonts w:ascii="Calibri" w:eastAsia="Times" w:hAnsi="Calibri" w:cs="Calibri"/>
          <w:bCs/>
          <w:sz w:val="24"/>
          <w:szCs w:val="24"/>
          <w:lang w:val="en-AU"/>
        </w:rPr>
        <w:t>, or</w:t>
      </w:r>
      <w:r w:rsidR="00CD1952">
        <w:rPr>
          <w:rFonts w:ascii="Calibri" w:eastAsia="Times" w:hAnsi="Calibri" w:cs="Calibri"/>
          <w:bCs/>
          <w:sz w:val="24"/>
          <w:szCs w:val="24"/>
          <w:lang w:val="en-AU"/>
        </w:rPr>
        <w:t xml:space="preserve"> to individuals</w:t>
      </w:r>
      <w:r w:rsidR="00DF6FAC">
        <w:rPr>
          <w:rFonts w:ascii="Calibri" w:eastAsia="Times" w:hAnsi="Calibri" w:cs="Calibri"/>
          <w:bCs/>
          <w:sz w:val="24"/>
          <w:szCs w:val="24"/>
          <w:lang w:val="en-AU"/>
        </w:rPr>
        <w:t xml:space="preserve"> who</w:t>
      </w:r>
      <w:r w:rsidR="00F43F7D">
        <w:rPr>
          <w:rFonts w:ascii="Calibri" w:eastAsia="Times" w:hAnsi="Calibri" w:cs="Calibri"/>
          <w:bCs/>
          <w:sz w:val="24"/>
          <w:szCs w:val="24"/>
          <w:lang w:val="en-AU"/>
        </w:rPr>
        <w:t xml:space="preserve"> are not registered or practising currently but who were</w:t>
      </w:r>
      <w:r w:rsidR="00211AD8">
        <w:rPr>
          <w:rFonts w:ascii="Calibri" w:eastAsia="Times" w:hAnsi="Calibri" w:cs="Calibri"/>
          <w:bCs/>
          <w:sz w:val="24"/>
          <w:szCs w:val="24"/>
          <w:lang w:val="en-AU"/>
        </w:rPr>
        <w:t xml:space="preserve"> registered</w:t>
      </w:r>
      <w:r w:rsidR="00F43F7D">
        <w:rPr>
          <w:rFonts w:ascii="Calibri" w:eastAsia="Times" w:hAnsi="Calibri" w:cs="Calibri"/>
          <w:bCs/>
          <w:sz w:val="24"/>
          <w:szCs w:val="24"/>
          <w:lang w:val="en-AU"/>
        </w:rPr>
        <w:t xml:space="preserve"> at the time of the conduct charged</w:t>
      </w:r>
      <w:r w:rsidR="00211AD8">
        <w:rPr>
          <w:rFonts w:ascii="Calibri" w:eastAsia="Times" w:hAnsi="Calibri" w:cs="Calibri"/>
          <w:bCs/>
          <w:sz w:val="24"/>
          <w:szCs w:val="24"/>
          <w:lang w:val="en-AU"/>
        </w:rPr>
        <w:t xml:space="preserve"> (former health practitioners)</w:t>
      </w:r>
      <w:r w:rsidR="0089320B">
        <w:rPr>
          <w:rFonts w:ascii="Calibri" w:eastAsia="Times" w:hAnsi="Calibri" w:cs="Calibri"/>
          <w:bCs/>
          <w:sz w:val="24"/>
          <w:szCs w:val="24"/>
          <w:lang w:val="en-AU"/>
        </w:rPr>
        <w:t>.</w:t>
      </w:r>
      <w:r w:rsidR="00F43F7D">
        <w:rPr>
          <w:rFonts w:ascii="Calibri" w:eastAsia="Times" w:hAnsi="Calibri" w:cs="Calibri"/>
          <w:bCs/>
          <w:sz w:val="24"/>
          <w:szCs w:val="24"/>
          <w:lang w:val="en-AU"/>
        </w:rPr>
        <w:t xml:space="preserve"> </w:t>
      </w:r>
      <w:r w:rsidR="002B065D">
        <w:rPr>
          <w:rFonts w:ascii="Calibri" w:eastAsia="Times" w:hAnsi="Calibri" w:cs="Calibri"/>
          <w:bCs/>
          <w:sz w:val="24"/>
          <w:szCs w:val="24"/>
          <w:lang w:val="en-AU"/>
        </w:rPr>
        <w:t xml:space="preserve">The temporal requirements in those subsections are required because the Act explicitly covers conduct by a former health practitioner. </w:t>
      </w:r>
    </w:p>
    <w:p w14:paraId="0FDF64E0" w14:textId="291F9421" w:rsidR="00867E0C" w:rsidRPr="0002012D" w:rsidRDefault="00ED0503" w:rsidP="0002012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sidRPr="0002012D">
        <w:rPr>
          <w:rFonts w:ascii="Calibri" w:eastAsia="Times" w:hAnsi="Calibri" w:cs="Calibri"/>
          <w:bCs/>
          <w:sz w:val="24"/>
          <w:szCs w:val="24"/>
          <w:lang w:val="en-AU"/>
        </w:rPr>
        <w:t>The Tribunal considers that the absence of a temporal requirement in sections 82(1)(a) and</w:t>
      </w:r>
      <w:r w:rsidR="002B065D" w:rsidRPr="0002012D">
        <w:rPr>
          <w:rFonts w:ascii="Calibri" w:eastAsia="Times" w:hAnsi="Calibri" w:cs="Calibri"/>
          <w:bCs/>
          <w:sz w:val="24"/>
          <w:szCs w:val="24"/>
          <w:lang w:val="en-AU"/>
        </w:rPr>
        <w:t xml:space="preserve"> 82(1)</w:t>
      </w:r>
      <w:r w:rsidRPr="0002012D">
        <w:rPr>
          <w:rFonts w:ascii="Calibri" w:eastAsia="Times" w:hAnsi="Calibri" w:cs="Calibri"/>
          <w:bCs/>
          <w:sz w:val="24"/>
          <w:szCs w:val="24"/>
          <w:lang w:val="en-AU"/>
        </w:rPr>
        <w:t xml:space="preserve"> (b)</w:t>
      </w:r>
      <w:r w:rsidR="00396846" w:rsidRPr="0002012D">
        <w:rPr>
          <w:rFonts w:ascii="Calibri" w:eastAsia="Times" w:hAnsi="Calibri" w:cs="Calibri"/>
          <w:bCs/>
          <w:sz w:val="24"/>
          <w:szCs w:val="24"/>
          <w:lang w:val="en-AU"/>
        </w:rPr>
        <w:t xml:space="preserve"> </w:t>
      </w:r>
      <w:r w:rsidR="002B065D" w:rsidRPr="0002012D">
        <w:rPr>
          <w:rFonts w:ascii="Calibri" w:eastAsia="Times" w:hAnsi="Calibri" w:cs="Calibri"/>
          <w:bCs/>
          <w:sz w:val="24"/>
          <w:szCs w:val="24"/>
          <w:lang w:val="en-AU"/>
        </w:rPr>
        <w:t xml:space="preserve">of the SWR Act </w:t>
      </w:r>
      <w:r w:rsidR="00396846" w:rsidRPr="0002012D">
        <w:rPr>
          <w:rFonts w:ascii="Calibri" w:eastAsia="Times" w:hAnsi="Calibri" w:cs="Calibri"/>
          <w:bCs/>
          <w:sz w:val="24"/>
          <w:szCs w:val="24"/>
          <w:lang w:val="en-AU"/>
        </w:rPr>
        <w:t>is</w:t>
      </w:r>
      <w:r w:rsidR="0002012D" w:rsidRPr="0002012D">
        <w:rPr>
          <w:rFonts w:ascii="Calibri" w:eastAsia="Times" w:hAnsi="Calibri" w:cs="Calibri"/>
          <w:bCs/>
          <w:sz w:val="24"/>
          <w:szCs w:val="24"/>
          <w:lang w:val="en-AU"/>
        </w:rPr>
        <w:t xml:space="preserve"> not in</w:t>
      </w:r>
      <w:r w:rsidR="00396846" w:rsidRPr="0002012D">
        <w:rPr>
          <w:rFonts w:ascii="Calibri" w:eastAsia="Times" w:hAnsi="Calibri" w:cs="Calibri"/>
          <w:bCs/>
          <w:sz w:val="24"/>
          <w:szCs w:val="24"/>
          <w:lang w:val="en-AU"/>
        </w:rPr>
        <w:t>consistent with</w:t>
      </w:r>
      <w:r w:rsidR="00383BF0">
        <w:rPr>
          <w:rFonts w:ascii="Calibri" w:eastAsia="Times" w:hAnsi="Calibri" w:cs="Calibri"/>
          <w:bCs/>
          <w:sz w:val="24"/>
          <w:szCs w:val="24"/>
          <w:lang w:val="en-AU"/>
        </w:rPr>
        <w:t xml:space="preserve"> the Tribunal’s view that</w:t>
      </w:r>
      <w:r w:rsidR="00396846" w:rsidRPr="0002012D">
        <w:rPr>
          <w:rFonts w:ascii="Calibri" w:eastAsia="Times" w:hAnsi="Calibri" w:cs="Calibri"/>
          <w:bCs/>
          <w:sz w:val="24"/>
          <w:szCs w:val="24"/>
          <w:lang w:val="en-AU"/>
        </w:rPr>
        <w:t xml:space="preserve"> Parliament’s intention</w:t>
      </w:r>
      <w:r w:rsidR="00383BF0">
        <w:rPr>
          <w:rFonts w:ascii="Calibri" w:eastAsia="Times" w:hAnsi="Calibri" w:cs="Calibri"/>
          <w:bCs/>
          <w:sz w:val="24"/>
          <w:szCs w:val="24"/>
          <w:lang w:val="en-AU"/>
        </w:rPr>
        <w:t xml:space="preserve"> was</w:t>
      </w:r>
      <w:r w:rsidR="00396846" w:rsidRPr="0002012D">
        <w:rPr>
          <w:rFonts w:ascii="Calibri" w:eastAsia="Times" w:hAnsi="Calibri" w:cs="Calibri"/>
          <w:bCs/>
          <w:sz w:val="24"/>
          <w:szCs w:val="24"/>
          <w:lang w:val="en-AU"/>
        </w:rPr>
        <w:t xml:space="preserve"> </w:t>
      </w:r>
      <w:r w:rsidR="00DF6FAC" w:rsidRPr="0002012D">
        <w:rPr>
          <w:rFonts w:ascii="Calibri" w:eastAsia="Times" w:hAnsi="Calibri" w:cs="Calibri"/>
          <w:bCs/>
          <w:sz w:val="24"/>
          <w:szCs w:val="24"/>
          <w:lang w:val="en-AU"/>
        </w:rPr>
        <w:t xml:space="preserve">that </w:t>
      </w:r>
      <w:r w:rsidR="002E174F" w:rsidRPr="0002012D">
        <w:rPr>
          <w:rFonts w:ascii="Calibri" w:eastAsia="Times" w:hAnsi="Calibri" w:cs="Calibri"/>
          <w:bCs/>
          <w:sz w:val="24"/>
          <w:szCs w:val="24"/>
          <w:lang w:val="en-AU"/>
        </w:rPr>
        <w:t xml:space="preserve">a social worker can only be disciplined for matters that </w:t>
      </w:r>
      <w:r w:rsidR="002A42AD" w:rsidRPr="0002012D">
        <w:rPr>
          <w:rFonts w:ascii="Calibri" w:eastAsia="Times" w:hAnsi="Calibri" w:cs="Calibri"/>
          <w:bCs/>
          <w:sz w:val="24"/>
          <w:szCs w:val="24"/>
          <w:lang w:val="en-AU"/>
        </w:rPr>
        <w:t xml:space="preserve">amount to professional misconduct or ‘conduct unbecoming’ </w:t>
      </w:r>
      <w:r w:rsidR="00BA5572">
        <w:rPr>
          <w:rFonts w:ascii="Calibri" w:eastAsia="Times" w:hAnsi="Calibri" w:cs="Calibri"/>
          <w:bCs/>
          <w:sz w:val="24"/>
          <w:szCs w:val="24"/>
          <w:lang w:val="en-AU"/>
        </w:rPr>
        <w:t xml:space="preserve">occurring by way of commission or omission from the point </w:t>
      </w:r>
      <w:r w:rsidR="00D74605">
        <w:rPr>
          <w:rFonts w:ascii="Calibri" w:eastAsia="Times" w:hAnsi="Calibri" w:cs="Calibri"/>
          <w:bCs/>
          <w:sz w:val="24"/>
          <w:szCs w:val="24"/>
          <w:lang w:val="en-AU"/>
        </w:rPr>
        <w:t>at which they</w:t>
      </w:r>
      <w:r w:rsidR="00F93DCB">
        <w:rPr>
          <w:rFonts w:ascii="Calibri" w:eastAsia="Times" w:hAnsi="Calibri" w:cs="Calibri"/>
          <w:bCs/>
          <w:sz w:val="24"/>
          <w:szCs w:val="24"/>
          <w:lang w:val="en-AU"/>
        </w:rPr>
        <w:t xml:space="preserve"> </w:t>
      </w:r>
      <w:r w:rsidR="00396846" w:rsidRPr="0002012D">
        <w:rPr>
          <w:rFonts w:ascii="Calibri" w:eastAsia="Times" w:hAnsi="Calibri" w:cs="Calibri"/>
          <w:bCs/>
          <w:sz w:val="24"/>
          <w:szCs w:val="24"/>
          <w:lang w:val="en-AU"/>
        </w:rPr>
        <w:t>registered</w:t>
      </w:r>
      <w:r w:rsidR="00C1183D" w:rsidRPr="0002012D">
        <w:rPr>
          <w:rFonts w:ascii="Calibri" w:eastAsia="Times" w:hAnsi="Calibri" w:cs="Calibri"/>
          <w:bCs/>
          <w:sz w:val="24"/>
          <w:szCs w:val="24"/>
          <w:lang w:val="en-AU"/>
        </w:rPr>
        <w:t xml:space="preserve"> under the Act</w:t>
      </w:r>
      <w:r w:rsidR="00396846" w:rsidRPr="0002012D">
        <w:rPr>
          <w:rFonts w:ascii="Calibri" w:eastAsia="Times" w:hAnsi="Calibri" w:cs="Calibri"/>
          <w:bCs/>
          <w:sz w:val="24"/>
          <w:szCs w:val="24"/>
          <w:lang w:val="en-AU"/>
        </w:rPr>
        <w:t>.</w:t>
      </w:r>
      <w:r w:rsidR="00470F6F" w:rsidRPr="0002012D">
        <w:rPr>
          <w:rFonts w:ascii="Calibri" w:eastAsia="Times" w:hAnsi="Calibri" w:cs="Calibri"/>
          <w:bCs/>
          <w:sz w:val="24"/>
          <w:szCs w:val="24"/>
          <w:lang w:val="en-AU"/>
        </w:rPr>
        <w:t xml:space="preserve"> </w:t>
      </w:r>
    </w:p>
    <w:p w14:paraId="1554DB44" w14:textId="48C41188" w:rsidR="000071A1" w:rsidRPr="00BF039E" w:rsidRDefault="00867E0C" w:rsidP="000071A1">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There is no similar </w:t>
      </w:r>
      <w:r w:rsidR="004E5685">
        <w:rPr>
          <w:rFonts w:ascii="Calibri" w:eastAsia="Times" w:hAnsi="Calibri" w:cs="Calibri"/>
          <w:bCs/>
          <w:sz w:val="24"/>
          <w:szCs w:val="24"/>
          <w:lang w:val="en-AU"/>
        </w:rPr>
        <w:t xml:space="preserve">temporal reference or </w:t>
      </w:r>
      <w:r>
        <w:rPr>
          <w:rFonts w:ascii="Calibri" w:eastAsia="Times" w:hAnsi="Calibri" w:cs="Calibri"/>
          <w:bCs/>
          <w:sz w:val="24"/>
          <w:szCs w:val="24"/>
          <w:lang w:val="en-AU"/>
        </w:rPr>
        <w:t xml:space="preserve">qualification in section 100(1)(c) of the Health Practitioners Competence Assurance Act 2003 which deals with the referral of criminal convictions that reflect adversely on a practitioner’s fitness to practise their profession. However, </w:t>
      </w:r>
      <w:r w:rsidR="00D74473">
        <w:rPr>
          <w:rFonts w:ascii="Calibri" w:eastAsia="Times" w:hAnsi="Calibri" w:cs="Calibri"/>
          <w:bCs/>
          <w:sz w:val="24"/>
          <w:szCs w:val="24"/>
          <w:lang w:val="en-AU"/>
        </w:rPr>
        <w:t xml:space="preserve">the Tribunal considers </w:t>
      </w:r>
      <w:r>
        <w:rPr>
          <w:rFonts w:ascii="Calibri" w:eastAsia="Times" w:hAnsi="Calibri" w:cs="Calibri"/>
          <w:bCs/>
          <w:sz w:val="24"/>
          <w:szCs w:val="24"/>
          <w:lang w:val="en-AU"/>
        </w:rPr>
        <w:t>that provision proceeds on the premise that the practitioner concerned is a health practitioner at the time that he or she is</w:t>
      </w:r>
      <w:r w:rsidR="00C14EEE">
        <w:rPr>
          <w:rFonts w:ascii="Calibri" w:eastAsia="Times" w:hAnsi="Calibri" w:cs="Calibri"/>
          <w:bCs/>
          <w:sz w:val="24"/>
          <w:szCs w:val="24"/>
          <w:lang w:val="en-AU"/>
        </w:rPr>
        <w:t xml:space="preserve"> or they are</w:t>
      </w:r>
      <w:r>
        <w:rPr>
          <w:rFonts w:ascii="Calibri" w:eastAsia="Times" w:hAnsi="Calibri" w:cs="Calibri"/>
          <w:bCs/>
          <w:sz w:val="24"/>
          <w:szCs w:val="24"/>
          <w:lang w:val="en-AU"/>
        </w:rPr>
        <w:t xml:space="preserve"> </w:t>
      </w:r>
      <w:r w:rsidRPr="00D31642">
        <w:rPr>
          <w:rFonts w:ascii="Calibri" w:eastAsia="Times" w:hAnsi="Calibri" w:cs="Calibri"/>
          <w:bCs/>
          <w:i/>
          <w:iCs/>
          <w:sz w:val="24"/>
          <w:szCs w:val="24"/>
          <w:lang w:val="en-AU"/>
        </w:rPr>
        <w:t>convicted</w:t>
      </w:r>
      <w:r>
        <w:rPr>
          <w:rFonts w:ascii="Calibri" w:eastAsia="Times" w:hAnsi="Calibri" w:cs="Calibri"/>
          <w:bCs/>
          <w:sz w:val="24"/>
          <w:szCs w:val="24"/>
          <w:lang w:val="en-AU"/>
        </w:rPr>
        <w:t xml:space="preserve"> of an offence which reflects adversely on his or her fitness to practise. </w:t>
      </w:r>
      <w:r w:rsidR="00D31642">
        <w:rPr>
          <w:rFonts w:ascii="Calibri" w:eastAsia="Times" w:hAnsi="Calibri" w:cs="Calibri"/>
          <w:bCs/>
          <w:sz w:val="24"/>
          <w:szCs w:val="24"/>
          <w:lang w:val="en-AU"/>
        </w:rPr>
        <w:t xml:space="preserve">It does not proceed on the basis that a health practitioner or former health practitioner may be found guilty of a disciplinary offence in respect of convictions </w:t>
      </w:r>
      <w:r w:rsidR="003C78AE">
        <w:rPr>
          <w:rFonts w:ascii="Calibri" w:eastAsia="Times" w:hAnsi="Calibri" w:cs="Calibri"/>
          <w:bCs/>
          <w:sz w:val="24"/>
          <w:szCs w:val="24"/>
          <w:lang w:val="en-AU"/>
        </w:rPr>
        <w:t xml:space="preserve">they received </w:t>
      </w:r>
      <w:r w:rsidR="00D31642">
        <w:rPr>
          <w:rFonts w:ascii="Calibri" w:eastAsia="Times" w:hAnsi="Calibri" w:cs="Calibri"/>
          <w:bCs/>
          <w:sz w:val="24"/>
          <w:szCs w:val="24"/>
          <w:lang w:val="en-AU"/>
        </w:rPr>
        <w:t>prior to their registration. Tha</w:t>
      </w:r>
      <w:r w:rsidR="00A2334B">
        <w:rPr>
          <w:rFonts w:ascii="Calibri" w:eastAsia="Times" w:hAnsi="Calibri" w:cs="Calibri"/>
          <w:bCs/>
          <w:sz w:val="24"/>
          <w:szCs w:val="24"/>
          <w:lang w:val="en-AU"/>
        </w:rPr>
        <w:t xml:space="preserve">t follows because </w:t>
      </w:r>
      <w:r w:rsidR="00D31642">
        <w:rPr>
          <w:rFonts w:ascii="Calibri" w:eastAsia="Times" w:hAnsi="Calibri" w:cs="Calibri"/>
          <w:bCs/>
          <w:sz w:val="24"/>
          <w:szCs w:val="24"/>
          <w:lang w:val="en-AU"/>
        </w:rPr>
        <w:t xml:space="preserve">any pre-registration convictions would be matters for the registration authority at the time a person’s application for registration is being considered. Pre-registration convictions are relevant to the question of whether the practitioner is a fit and proper person to practise in the </w:t>
      </w:r>
      <w:r w:rsidR="007C612E">
        <w:rPr>
          <w:rFonts w:ascii="Calibri" w:eastAsia="Times" w:hAnsi="Calibri" w:cs="Calibri"/>
          <w:bCs/>
          <w:sz w:val="24"/>
          <w:szCs w:val="24"/>
          <w:lang w:val="en-AU"/>
        </w:rPr>
        <w:t xml:space="preserve">relevant </w:t>
      </w:r>
      <w:r w:rsidR="00D31642">
        <w:rPr>
          <w:rFonts w:ascii="Calibri" w:eastAsia="Times" w:hAnsi="Calibri" w:cs="Calibri"/>
          <w:bCs/>
          <w:sz w:val="24"/>
          <w:szCs w:val="24"/>
          <w:lang w:val="en-AU"/>
        </w:rPr>
        <w:t>profession</w:t>
      </w:r>
      <w:r w:rsidR="0002096F">
        <w:rPr>
          <w:rFonts w:ascii="Calibri" w:eastAsia="Times" w:hAnsi="Calibri" w:cs="Calibri"/>
          <w:bCs/>
          <w:sz w:val="24"/>
          <w:szCs w:val="24"/>
          <w:lang w:val="en-AU"/>
        </w:rPr>
        <w:t xml:space="preserve"> </w:t>
      </w:r>
      <w:r w:rsidR="00A2334B">
        <w:rPr>
          <w:rFonts w:ascii="Calibri" w:eastAsia="Times" w:hAnsi="Calibri" w:cs="Calibri"/>
          <w:bCs/>
          <w:sz w:val="24"/>
          <w:szCs w:val="24"/>
          <w:lang w:val="en-AU"/>
        </w:rPr>
        <w:t xml:space="preserve">and that is a matter for the regulatory authority when deciding whether to register the person or </w:t>
      </w:r>
      <w:r w:rsidR="00BA5572">
        <w:rPr>
          <w:rFonts w:ascii="Calibri" w:eastAsia="Times" w:hAnsi="Calibri" w:cs="Calibri"/>
          <w:bCs/>
          <w:sz w:val="24"/>
          <w:szCs w:val="24"/>
          <w:lang w:val="en-AU"/>
        </w:rPr>
        <w:t xml:space="preserve">to issue or renew </w:t>
      </w:r>
      <w:r w:rsidR="00A2334B">
        <w:rPr>
          <w:rFonts w:ascii="Calibri" w:eastAsia="Times" w:hAnsi="Calibri" w:cs="Calibri"/>
          <w:bCs/>
          <w:sz w:val="24"/>
          <w:szCs w:val="24"/>
          <w:lang w:val="en-AU"/>
        </w:rPr>
        <w:t>an annual practising certificate</w:t>
      </w:r>
      <w:r w:rsidR="00D31642">
        <w:rPr>
          <w:rFonts w:ascii="Calibri" w:eastAsia="Times" w:hAnsi="Calibri" w:cs="Calibri"/>
          <w:bCs/>
          <w:sz w:val="24"/>
          <w:szCs w:val="24"/>
          <w:lang w:val="en-AU"/>
        </w:rPr>
        <w:t>.</w:t>
      </w:r>
      <w:r w:rsidR="00300A1A">
        <w:rPr>
          <w:rFonts w:ascii="Calibri" w:eastAsia="Times" w:hAnsi="Calibri" w:cs="Calibri"/>
          <w:bCs/>
          <w:sz w:val="24"/>
          <w:szCs w:val="24"/>
          <w:lang w:val="en-AU"/>
        </w:rPr>
        <w:t xml:space="preserve"> </w:t>
      </w:r>
    </w:p>
    <w:p w14:paraId="2AA07B37" w14:textId="0593D068" w:rsidR="00867E0C" w:rsidRPr="00A56A3E" w:rsidRDefault="00F81E70" w:rsidP="00A56A3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As indicated above, t</w:t>
      </w:r>
      <w:r w:rsidR="00867E0C">
        <w:rPr>
          <w:rFonts w:ascii="Calibri" w:eastAsia="Times" w:hAnsi="Calibri" w:cs="Calibri"/>
          <w:bCs/>
          <w:sz w:val="24"/>
          <w:szCs w:val="24"/>
          <w:lang w:val="en-AU"/>
        </w:rPr>
        <w:t xml:space="preserve">he same can be said for section 82(1)(c) of the SWR Act which provides that the Tribunal may make an order under section 83 in respect of “a social worker” if it is satisfied the </w:t>
      </w:r>
      <w:r w:rsidR="00867E0C" w:rsidRPr="00B54CB8">
        <w:rPr>
          <w:rFonts w:ascii="Calibri" w:eastAsia="Times" w:hAnsi="Calibri" w:cs="Calibri"/>
          <w:bCs/>
          <w:i/>
          <w:iCs/>
          <w:sz w:val="24"/>
          <w:szCs w:val="24"/>
          <w:lang w:val="en-AU"/>
        </w:rPr>
        <w:t>“social worker”</w:t>
      </w:r>
      <w:r w:rsidR="00867E0C">
        <w:rPr>
          <w:rFonts w:ascii="Calibri" w:eastAsia="Times" w:hAnsi="Calibri" w:cs="Calibri"/>
          <w:bCs/>
          <w:sz w:val="24"/>
          <w:szCs w:val="24"/>
          <w:lang w:val="en-AU"/>
        </w:rPr>
        <w:t xml:space="preserve"> </w:t>
      </w:r>
      <w:r w:rsidR="00867E0C" w:rsidRPr="00B54CB8">
        <w:rPr>
          <w:rFonts w:ascii="Calibri" w:eastAsia="Times" w:hAnsi="Calibri" w:cs="Calibri"/>
          <w:bCs/>
          <w:i/>
          <w:iCs/>
          <w:sz w:val="24"/>
          <w:szCs w:val="24"/>
          <w:lang w:val="en-AU"/>
        </w:rPr>
        <w:t>“has b</w:t>
      </w:r>
      <w:r w:rsidR="00E02735" w:rsidRPr="00B54CB8">
        <w:rPr>
          <w:rFonts w:ascii="Calibri" w:eastAsia="Times" w:hAnsi="Calibri" w:cs="Calibri"/>
          <w:bCs/>
          <w:i/>
          <w:iCs/>
          <w:sz w:val="24"/>
          <w:szCs w:val="24"/>
          <w:lang w:val="en-AU"/>
        </w:rPr>
        <w:t>e</w:t>
      </w:r>
      <w:r w:rsidR="00867E0C" w:rsidRPr="00B54CB8">
        <w:rPr>
          <w:rFonts w:ascii="Calibri" w:eastAsia="Times" w:hAnsi="Calibri" w:cs="Calibri"/>
          <w:bCs/>
          <w:i/>
          <w:iCs/>
          <w:sz w:val="24"/>
          <w:szCs w:val="24"/>
          <w:lang w:val="en-AU"/>
        </w:rPr>
        <w:t>en convicted by a court (in New Zealand or elsewhere) of an offence” that is punishable by imprisonment for a term of 3 months or longer and was committed in circumstances that reflect adversely on the social worker’s fitness to practise as a social worker”</w:t>
      </w:r>
      <w:r w:rsidR="00867E0C">
        <w:rPr>
          <w:rFonts w:ascii="Calibri" w:eastAsia="Times" w:hAnsi="Calibri" w:cs="Calibri"/>
          <w:bCs/>
          <w:sz w:val="24"/>
          <w:szCs w:val="24"/>
          <w:lang w:val="en-AU"/>
        </w:rPr>
        <w:t xml:space="preserve">. That is, </w:t>
      </w:r>
      <w:r w:rsidR="00753DED">
        <w:rPr>
          <w:rFonts w:ascii="Calibri" w:eastAsia="Times" w:hAnsi="Calibri" w:cs="Calibri"/>
          <w:bCs/>
          <w:sz w:val="24"/>
          <w:szCs w:val="24"/>
          <w:lang w:val="en-AU"/>
        </w:rPr>
        <w:t xml:space="preserve">the Tribunal considers </w:t>
      </w:r>
      <w:r w:rsidR="00867E0C">
        <w:rPr>
          <w:rFonts w:ascii="Calibri" w:eastAsia="Times" w:hAnsi="Calibri" w:cs="Calibri"/>
          <w:bCs/>
          <w:sz w:val="24"/>
          <w:szCs w:val="24"/>
          <w:lang w:val="en-AU"/>
        </w:rPr>
        <w:t xml:space="preserve">this </w:t>
      </w:r>
      <w:r w:rsidR="00867E0C">
        <w:rPr>
          <w:rFonts w:ascii="Calibri" w:eastAsia="Times" w:hAnsi="Calibri" w:cs="Calibri"/>
          <w:bCs/>
          <w:sz w:val="24"/>
          <w:szCs w:val="24"/>
          <w:lang w:val="en-AU"/>
        </w:rPr>
        <w:lastRenderedPageBreak/>
        <w:t>provision proceeds on the premise that the practitioner is a registered social worker at the time they are convicte</w:t>
      </w:r>
      <w:r w:rsidR="004C275D">
        <w:rPr>
          <w:rFonts w:ascii="Calibri" w:eastAsia="Times" w:hAnsi="Calibri" w:cs="Calibri"/>
          <w:bCs/>
          <w:sz w:val="24"/>
          <w:szCs w:val="24"/>
          <w:lang w:val="en-AU"/>
        </w:rPr>
        <w:t>d</w:t>
      </w:r>
      <w:r w:rsidR="00867E0C">
        <w:rPr>
          <w:rFonts w:ascii="Calibri" w:eastAsia="Times" w:hAnsi="Calibri" w:cs="Calibri"/>
          <w:bCs/>
          <w:sz w:val="24"/>
          <w:szCs w:val="24"/>
          <w:lang w:val="en-AU"/>
        </w:rPr>
        <w:t xml:space="preserve"> of a qualifying offence.</w:t>
      </w:r>
      <w:r w:rsidR="007D7042">
        <w:rPr>
          <w:rFonts w:ascii="Calibri" w:eastAsia="Times" w:hAnsi="Calibri" w:cs="Calibri"/>
          <w:bCs/>
          <w:sz w:val="24"/>
          <w:szCs w:val="24"/>
          <w:lang w:val="en-AU"/>
        </w:rPr>
        <w:t xml:space="preserve"> </w:t>
      </w:r>
      <w:r w:rsidR="007F0CC0">
        <w:rPr>
          <w:rFonts w:ascii="Calibri" w:eastAsia="Times" w:hAnsi="Calibri" w:cs="Calibri"/>
          <w:bCs/>
          <w:sz w:val="24"/>
          <w:szCs w:val="24"/>
          <w:lang w:val="en-AU"/>
        </w:rPr>
        <w:t>The Tribunal</w:t>
      </w:r>
      <w:r w:rsidR="004C275D">
        <w:rPr>
          <w:rFonts w:ascii="Calibri" w:eastAsia="Times" w:hAnsi="Calibri" w:cs="Calibri"/>
          <w:bCs/>
          <w:sz w:val="24"/>
          <w:szCs w:val="24"/>
          <w:lang w:val="en-AU"/>
        </w:rPr>
        <w:t xml:space="preserve"> considers</w:t>
      </w:r>
      <w:r w:rsidR="007F0CC0">
        <w:rPr>
          <w:rFonts w:ascii="Calibri" w:eastAsia="Times" w:hAnsi="Calibri" w:cs="Calibri"/>
          <w:bCs/>
          <w:sz w:val="24"/>
          <w:szCs w:val="24"/>
          <w:lang w:val="en-AU"/>
        </w:rPr>
        <w:t xml:space="preserve"> that</w:t>
      </w:r>
      <w:r w:rsidR="008B137C">
        <w:rPr>
          <w:rFonts w:ascii="Calibri" w:eastAsia="Times" w:hAnsi="Calibri" w:cs="Calibri"/>
          <w:bCs/>
          <w:sz w:val="24"/>
          <w:szCs w:val="24"/>
          <w:lang w:val="en-AU"/>
        </w:rPr>
        <w:t xml:space="preserve"> section 8</w:t>
      </w:r>
      <w:r w:rsidR="00A074E8">
        <w:rPr>
          <w:rFonts w:ascii="Calibri" w:eastAsia="Times" w:hAnsi="Calibri" w:cs="Calibri"/>
          <w:bCs/>
          <w:sz w:val="24"/>
          <w:szCs w:val="24"/>
          <w:lang w:val="en-AU"/>
        </w:rPr>
        <w:t>2</w:t>
      </w:r>
      <w:r w:rsidR="008B137C">
        <w:rPr>
          <w:rFonts w:ascii="Calibri" w:eastAsia="Times" w:hAnsi="Calibri" w:cs="Calibri"/>
          <w:bCs/>
          <w:sz w:val="24"/>
          <w:szCs w:val="24"/>
          <w:lang w:val="en-AU"/>
        </w:rPr>
        <w:t xml:space="preserve">(3) </w:t>
      </w:r>
      <w:r w:rsidR="007F0CC0">
        <w:rPr>
          <w:rFonts w:ascii="Calibri" w:eastAsia="Times" w:hAnsi="Calibri" w:cs="Calibri"/>
          <w:bCs/>
          <w:sz w:val="24"/>
          <w:szCs w:val="24"/>
          <w:lang w:val="en-AU"/>
        </w:rPr>
        <w:t>support</w:t>
      </w:r>
      <w:r w:rsidR="00D37F9E">
        <w:rPr>
          <w:rFonts w:ascii="Calibri" w:eastAsia="Times" w:hAnsi="Calibri" w:cs="Calibri"/>
          <w:bCs/>
          <w:sz w:val="24"/>
          <w:szCs w:val="24"/>
          <w:lang w:val="en-AU"/>
        </w:rPr>
        <w:t>s</w:t>
      </w:r>
      <w:r w:rsidR="007F0CC0">
        <w:rPr>
          <w:rFonts w:ascii="Calibri" w:eastAsia="Times" w:hAnsi="Calibri" w:cs="Calibri"/>
          <w:bCs/>
          <w:sz w:val="24"/>
          <w:szCs w:val="24"/>
          <w:lang w:val="en-AU"/>
        </w:rPr>
        <w:t xml:space="preserve"> this interpretation. This subsection </w:t>
      </w:r>
      <w:r w:rsidR="008B137C">
        <w:rPr>
          <w:rFonts w:ascii="Calibri" w:eastAsia="Times" w:hAnsi="Calibri" w:cs="Calibri"/>
          <w:bCs/>
          <w:sz w:val="24"/>
          <w:szCs w:val="24"/>
          <w:lang w:val="en-AU"/>
        </w:rPr>
        <w:t xml:space="preserve">is clear that the Tribunal must not make an order under section 83 in respect of an offence for which a social worker was convicted if, when the Board decided he or she was registered it was aware of the conviction and </w:t>
      </w:r>
      <w:r w:rsidR="008D3D70">
        <w:rPr>
          <w:rFonts w:ascii="Calibri" w:eastAsia="Times" w:hAnsi="Calibri" w:cs="Calibri"/>
          <w:bCs/>
          <w:sz w:val="24"/>
          <w:szCs w:val="24"/>
          <w:lang w:val="en-AU"/>
        </w:rPr>
        <w:t xml:space="preserve">was </w:t>
      </w:r>
      <w:r w:rsidR="008B137C">
        <w:rPr>
          <w:rFonts w:ascii="Calibri" w:eastAsia="Times" w:hAnsi="Calibri" w:cs="Calibri"/>
          <w:bCs/>
          <w:sz w:val="24"/>
          <w:szCs w:val="24"/>
          <w:lang w:val="en-AU"/>
        </w:rPr>
        <w:t>adequately informed of the circumstances of the offence.</w:t>
      </w:r>
      <w:r w:rsidR="003C78AE">
        <w:rPr>
          <w:rFonts w:ascii="Calibri" w:eastAsia="Times" w:hAnsi="Calibri" w:cs="Calibri"/>
          <w:bCs/>
          <w:sz w:val="24"/>
          <w:szCs w:val="24"/>
          <w:lang w:val="en-AU"/>
        </w:rPr>
        <w:t xml:space="preserve"> </w:t>
      </w:r>
      <w:r w:rsidR="004C275D" w:rsidRPr="00A56A3E">
        <w:rPr>
          <w:rFonts w:ascii="Calibri" w:eastAsia="Times" w:hAnsi="Calibri" w:cs="Calibri"/>
          <w:bCs/>
          <w:sz w:val="24"/>
          <w:szCs w:val="24"/>
          <w:lang w:val="en-AU"/>
        </w:rPr>
        <w:t>A person who has not disclosed a conviction to the Board at the time of applying for registration</w:t>
      </w:r>
      <w:r w:rsidR="0002096F">
        <w:rPr>
          <w:rStyle w:val="FootnoteReference"/>
          <w:rFonts w:ascii="Calibri" w:eastAsia="Times" w:hAnsi="Calibri" w:cs="Calibri"/>
          <w:bCs/>
          <w:sz w:val="24"/>
          <w:szCs w:val="24"/>
          <w:lang w:val="en-AU"/>
        </w:rPr>
        <w:footnoteReference w:id="26"/>
      </w:r>
      <w:r w:rsidR="004C275D" w:rsidRPr="00A56A3E">
        <w:rPr>
          <w:rFonts w:ascii="Calibri" w:eastAsia="Times" w:hAnsi="Calibri" w:cs="Calibri"/>
          <w:bCs/>
          <w:sz w:val="24"/>
          <w:szCs w:val="24"/>
          <w:lang w:val="en-AU"/>
        </w:rPr>
        <w:t xml:space="preserve"> could be charged with an offence </w:t>
      </w:r>
      <w:r w:rsidR="00A56A3E">
        <w:rPr>
          <w:rFonts w:ascii="Calibri" w:eastAsia="Times" w:hAnsi="Calibri" w:cs="Calibri"/>
          <w:bCs/>
          <w:sz w:val="24"/>
          <w:szCs w:val="24"/>
          <w:lang w:val="en-AU"/>
        </w:rPr>
        <w:t>against</w:t>
      </w:r>
      <w:r w:rsidR="004C275D" w:rsidRPr="00A56A3E">
        <w:rPr>
          <w:rFonts w:ascii="Calibri" w:eastAsia="Times" w:hAnsi="Calibri" w:cs="Calibri"/>
          <w:bCs/>
          <w:sz w:val="24"/>
          <w:szCs w:val="24"/>
          <w:lang w:val="en-AU"/>
        </w:rPr>
        <w:t xml:space="preserve"> section 148</w:t>
      </w:r>
      <w:r w:rsidR="000267EA" w:rsidRPr="00A56A3E">
        <w:rPr>
          <w:rFonts w:ascii="Calibri" w:eastAsia="Times" w:hAnsi="Calibri" w:cs="Calibri"/>
          <w:bCs/>
          <w:sz w:val="24"/>
          <w:szCs w:val="24"/>
          <w:lang w:val="en-AU"/>
        </w:rPr>
        <w:t>(1)</w:t>
      </w:r>
      <w:r w:rsidR="004C275D" w:rsidRPr="00A56A3E">
        <w:rPr>
          <w:rFonts w:ascii="Calibri" w:eastAsia="Times" w:hAnsi="Calibri" w:cs="Calibri"/>
          <w:bCs/>
          <w:sz w:val="24"/>
          <w:szCs w:val="24"/>
          <w:lang w:val="en-AU"/>
        </w:rPr>
        <w:t>, as discussed below.</w:t>
      </w:r>
      <w:r w:rsidR="00693899">
        <w:rPr>
          <w:rFonts w:ascii="Calibri" w:eastAsia="Times" w:hAnsi="Calibri" w:cs="Calibri"/>
          <w:bCs/>
          <w:sz w:val="24"/>
          <w:szCs w:val="24"/>
          <w:lang w:val="en-AU"/>
        </w:rPr>
        <w:t xml:space="preserve"> </w:t>
      </w:r>
    </w:p>
    <w:p w14:paraId="50070DA7" w14:textId="39A39E74" w:rsidR="008423BD" w:rsidRDefault="00867E0C" w:rsidP="00BF039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Section 82(1)(d) of the SWR Act</w:t>
      </w:r>
      <w:r w:rsidR="002D63F1">
        <w:rPr>
          <w:rFonts w:ascii="Calibri" w:eastAsia="Times" w:hAnsi="Calibri" w:cs="Calibri"/>
          <w:bCs/>
          <w:sz w:val="24"/>
          <w:szCs w:val="24"/>
          <w:lang w:val="en-AU"/>
        </w:rPr>
        <w:t xml:space="preserve"> provides that the Tribunal may make an order under section 83 if it is satisfied that the social worker has failed to comply with conditions on his or her registration, or conditions stated in section 77(1)(b) (interim suspension pending the hearing of a charge). </w:t>
      </w:r>
      <w:r w:rsidR="007C612E">
        <w:rPr>
          <w:rFonts w:ascii="Calibri" w:eastAsia="Times" w:hAnsi="Calibri" w:cs="Calibri"/>
          <w:bCs/>
          <w:sz w:val="24"/>
          <w:szCs w:val="24"/>
          <w:lang w:val="en-AU"/>
        </w:rPr>
        <w:t>Clearly, t</w:t>
      </w:r>
      <w:r w:rsidR="002D63F1">
        <w:rPr>
          <w:rFonts w:ascii="Calibri" w:eastAsia="Times" w:hAnsi="Calibri" w:cs="Calibri"/>
          <w:bCs/>
          <w:sz w:val="24"/>
          <w:szCs w:val="24"/>
          <w:lang w:val="en-AU"/>
        </w:rPr>
        <w:t xml:space="preserve">his provision also proceeds on the premise that the practitioner is a registered social worker. </w:t>
      </w:r>
    </w:p>
    <w:p w14:paraId="575D6D54" w14:textId="40D47ED8" w:rsidR="00EF7EE9" w:rsidRDefault="008423BD" w:rsidP="00624AC5">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It is the Tribunal’s view that those provisions are indicative of Parliament’s intention that it is post-registration conduct that is within the Tribunal’s jurisdiction under section 8</w:t>
      </w:r>
      <w:r w:rsidR="007C5373">
        <w:rPr>
          <w:rFonts w:ascii="Calibri" w:eastAsia="Times" w:hAnsi="Calibri" w:cs="Calibri"/>
          <w:bCs/>
          <w:sz w:val="24"/>
          <w:szCs w:val="24"/>
          <w:lang w:val="en-AU"/>
        </w:rPr>
        <w:t>2</w:t>
      </w:r>
      <w:r>
        <w:rPr>
          <w:rFonts w:ascii="Calibri" w:eastAsia="Times" w:hAnsi="Calibri" w:cs="Calibri"/>
          <w:bCs/>
          <w:sz w:val="24"/>
          <w:szCs w:val="24"/>
          <w:lang w:val="en-AU"/>
        </w:rPr>
        <w:t>(1)(a) and (b). That is, professional misconduct, or ‘conduct unbecoming’ and/or the receipt of a conviction for a qualifying offence that reflects adversely on their fitness to practi</w:t>
      </w:r>
      <w:r w:rsidR="00D37F9E">
        <w:rPr>
          <w:rFonts w:ascii="Calibri" w:eastAsia="Times" w:hAnsi="Calibri" w:cs="Calibri"/>
          <w:bCs/>
          <w:sz w:val="24"/>
          <w:szCs w:val="24"/>
          <w:lang w:val="en-AU"/>
        </w:rPr>
        <w:t>s</w:t>
      </w:r>
      <w:r>
        <w:rPr>
          <w:rFonts w:ascii="Calibri" w:eastAsia="Times" w:hAnsi="Calibri" w:cs="Calibri"/>
          <w:bCs/>
          <w:sz w:val="24"/>
          <w:szCs w:val="24"/>
          <w:lang w:val="en-AU"/>
        </w:rPr>
        <w:t xml:space="preserve">e when the practitioner is registered at the time the conviction is entered.  </w:t>
      </w:r>
      <w:r w:rsidR="00624AC5">
        <w:rPr>
          <w:rFonts w:ascii="Calibri" w:eastAsia="Times" w:hAnsi="Calibri" w:cs="Calibri"/>
          <w:bCs/>
          <w:sz w:val="24"/>
          <w:szCs w:val="24"/>
          <w:lang w:val="en-AU"/>
        </w:rPr>
        <w:t>I</w:t>
      </w:r>
      <w:r w:rsidR="00D14243" w:rsidRPr="00624AC5">
        <w:rPr>
          <w:rFonts w:ascii="Calibri" w:eastAsia="Times" w:hAnsi="Calibri" w:cs="Calibri"/>
          <w:bCs/>
          <w:sz w:val="24"/>
          <w:szCs w:val="24"/>
          <w:lang w:val="en-AU"/>
        </w:rPr>
        <w:t>n any event</w:t>
      </w:r>
      <w:r w:rsidR="00624AC5">
        <w:rPr>
          <w:rFonts w:ascii="Calibri" w:eastAsia="Times" w:hAnsi="Calibri" w:cs="Calibri"/>
          <w:bCs/>
          <w:sz w:val="24"/>
          <w:szCs w:val="24"/>
          <w:lang w:val="en-AU"/>
        </w:rPr>
        <w:t xml:space="preserve"> those provisions </w:t>
      </w:r>
      <w:r w:rsidR="00D14243" w:rsidRPr="00624AC5">
        <w:rPr>
          <w:rFonts w:ascii="Calibri" w:eastAsia="Times" w:hAnsi="Calibri" w:cs="Calibri"/>
          <w:bCs/>
          <w:sz w:val="24"/>
          <w:szCs w:val="24"/>
          <w:lang w:val="en-AU"/>
        </w:rPr>
        <w:t>do not undermine</w:t>
      </w:r>
      <w:r w:rsidR="002D63F1" w:rsidRPr="00624AC5">
        <w:rPr>
          <w:rFonts w:ascii="Calibri" w:eastAsia="Times" w:hAnsi="Calibri" w:cs="Calibri"/>
          <w:bCs/>
          <w:sz w:val="24"/>
          <w:szCs w:val="24"/>
          <w:lang w:val="en-AU"/>
        </w:rPr>
        <w:t xml:space="preserve"> the</w:t>
      </w:r>
      <w:r w:rsidR="00D14243" w:rsidRPr="00624AC5">
        <w:rPr>
          <w:rFonts w:ascii="Calibri" w:eastAsia="Times" w:hAnsi="Calibri" w:cs="Calibri"/>
          <w:bCs/>
          <w:sz w:val="24"/>
          <w:szCs w:val="24"/>
          <w:lang w:val="en-AU"/>
        </w:rPr>
        <w:t xml:space="preserve"> view the</w:t>
      </w:r>
      <w:r w:rsidR="002D63F1" w:rsidRPr="00624AC5">
        <w:rPr>
          <w:rFonts w:ascii="Calibri" w:eastAsia="Times" w:hAnsi="Calibri" w:cs="Calibri"/>
          <w:bCs/>
          <w:sz w:val="24"/>
          <w:szCs w:val="24"/>
          <w:lang w:val="en-AU"/>
        </w:rPr>
        <w:t xml:space="preserve"> Tribunal has taken</w:t>
      </w:r>
      <w:r w:rsidR="005F2114" w:rsidRPr="00624AC5">
        <w:rPr>
          <w:rFonts w:ascii="Calibri" w:eastAsia="Times" w:hAnsi="Calibri" w:cs="Calibri"/>
          <w:bCs/>
          <w:sz w:val="24"/>
          <w:szCs w:val="24"/>
          <w:lang w:val="en-AU"/>
        </w:rPr>
        <w:t xml:space="preserve"> in relation to section 82(1)(a) and (b)</w:t>
      </w:r>
      <w:r w:rsidR="002D63F1" w:rsidRPr="00624AC5">
        <w:rPr>
          <w:rFonts w:ascii="Calibri" w:eastAsia="Times" w:hAnsi="Calibri" w:cs="Calibri"/>
          <w:bCs/>
          <w:sz w:val="24"/>
          <w:szCs w:val="24"/>
          <w:lang w:val="en-AU"/>
        </w:rPr>
        <w:t>.</w:t>
      </w:r>
    </w:p>
    <w:p w14:paraId="52E41B49" w14:textId="006367C8" w:rsidR="00221868" w:rsidRPr="00624AC5" w:rsidRDefault="00221868" w:rsidP="00624AC5">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Other sections of the Act support this </w:t>
      </w:r>
      <w:r w:rsidR="00D74605">
        <w:rPr>
          <w:rFonts w:ascii="Calibri" w:eastAsia="Times" w:hAnsi="Calibri" w:cs="Calibri"/>
          <w:bCs/>
          <w:sz w:val="24"/>
          <w:szCs w:val="24"/>
          <w:lang w:val="en-AU"/>
        </w:rPr>
        <w:t>approach and</w:t>
      </w:r>
      <w:r>
        <w:rPr>
          <w:rFonts w:ascii="Calibri" w:eastAsia="Times" w:hAnsi="Calibri" w:cs="Calibri"/>
          <w:bCs/>
          <w:sz w:val="24"/>
          <w:szCs w:val="24"/>
          <w:lang w:val="en-AU"/>
        </w:rPr>
        <w:t xml:space="preserve"> provide reassurance that a practitioner whose pre-registration conduct might properly require consideration can be properly assessed. These are the provisions for Offences, which are not confined to registered social workers, and Part 2 of the Act which governs applications for registration and annual practising certificates.</w:t>
      </w:r>
    </w:p>
    <w:p w14:paraId="789AB9E5" w14:textId="32470042" w:rsidR="00D0049B" w:rsidRPr="000D1F2C" w:rsidRDefault="00E02735" w:rsidP="000D1F2C">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Section 148 creates offences and penalties as follows:</w:t>
      </w:r>
    </w:p>
    <w:p w14:paraId="0D30368B" w14:textId="248EFD36" w:rsidR="000D1F2C" w:rsidRDefault="000D1F2C" w:rsidP="007C5373">
      <w:pPr>
        <w:tabs>
          <w:tab w:val="left" w:pos="567"/>
        </w:tabs>
        <w:spacing w:after="0" w:line="240" w:lineRule="auto"/>
        <w:jc w:val="both"/>
        <w:rPr>
          <w:rFonts w:ascii="Calibri" w:eastAsia="Times" w:hAnsi="Calibri" w:cs="Calibri"/>
          <w:bCs/>
          <w:sz w:val="24"/>
          <w:szCs w:val="24"/>
          <w:lang w:val="en-AU"/>
        </w:rPr>
      </w:pPr>
    </w:p>
    <w:p w14:paraId="1C94C51B" w14:textId="77777777" w:rsidR="006103E4" w:rsidRDefault="006103E4" w:rsidP="007C5373">
      <w:pPr>
        <w:tabs>
          <w:tab w:val="left" w:pos="567"/>
        </w:tabs>
        <w:spacing w:after="0" w:line="240" w:lineRule="auto"/>
        <w:jc w:val="both"/>
        <w:rPr>
          <w:rFonts w:ascii="Calibri" w:eastAsia="Times" w:hAnsi="Calibri" w:cs="Calibri"/>
          <w:bCs/>
          <w:sz w:val="24"/>
          <w:szCs w:val="24"/>
          <w:lang w:val="en-AU"/>
        </w:rPr>
      </w:pPr>
    </w:p>
    <w:p w14:paraId="676BF4AA" w14:textId="13ED2EFC" w:rsidR="00E02735" w:rsidRPr="00681A53" w:rsidRDefault="00D0049B" w:rsidP="00D0049B">
      <w:pPr>
        <w:tabs>
          <w:tab w:val="left" w:pos="567"/>
        </w:tabs>
        <w:spacing w:after="0" w:line="240" w:lineRule="auto"/>
        <w:ind w:left="567"/>
        <w:jc w:val="both"/>
        <w:rPr>
          <w:rFonts w:ascii="Calibri" w:eastAsia="Times" w:hAnsi="Calibri" w:cs="Calibri"/>
          <w:b/>
          <w:sz w:val="24"/>
          <w:szCs w:val="24"/>
          <w:lang w:val="en-AU"/>
        </w:rPr>
      </w:pPr>
      <w:r>
        <w:rPr>
          <w:rFonts w:ascii="Calibri" w:eastAsia="Times" w:hAnsi="Calibri" w:cs="Calibri"/>
          <w:bCs/>
          <w:sz w:val="24"/>
          <w:szCs w:val="24"/>
          <w:lang w:val="en-AU"/>
        </w:rPr>
        <w:tab/>
      </w:r>
      <w:r w:rsidR="00E02735" w:rsidRPr="00681A53">
        <w:rPr>
          <w:rFonts w:ascii="Calibri" w:eastAsia="Times" w:hAnsi="Calibri" w:cs="Calibri"/>
          <w:b/>
          <w:sz w:val="24"/>
          <w:szCs w:val="24"/>
          <w:lang w:val="en-AU"/>
        </w:rPr>
        <w:t>148 Offences</w:t>
      </w:r>
    </w:p>
    <w:p w14:paraId="09C69AEE" w14:textId="77777777" w:rsidR="00E02735" w:rsidRPr="00D0049B" w:rsidRDefault="00E02735"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Every person commits an offence, and is liable on conviction to imprisonment for a term not exceeding 12 months or a fine not exceeding $10,000 or both, who, for </w:t>
      </w:r>
      <w:r w:rsidRPr="00D0049B">
        <w:rPr>
          <w:rFonts w:ascii="Calibri" w:eastAsia="Times" w:hAnsi="Calibri" w:cs="Calibri"/>
          <w:bCs/>
          <w:sz w:val="24"/>
          <w:szCs w:val="24"/>
          <w:lang w:val="en-AU"/>
        </w:rPr>
        <w:lastRenderedPageBreak/>
        <w:t>the purpose of obtaining registration or a practising certificate (for himself or herself or for any other person),-</w:t>
      </w:r>
    </w:p>
    <w:p w14:paraId="76667835" w14:textId="77777777" w:rsidR="00E02735" w:rsidRPr="00D0049B" w:rsidRDefault="00E02735" w:rsidP="00D0049B">
      <w:pPr>
        <w:pStyle w:val="ListParagraph"/>
        <w:numPr>
          <w:ilvl w:val="0"/>
          <w:numId w:val="6"/>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makes an oral or written declaration or representation that, to his or her knowledge, is false or misleading in a material particular; or</w:t>
      </w:r>
    </w:p>
    <w:p w14:paraId="6E67F172" w14:textId="77777777" w:rsidR="00E02735" w:rsidRPr="00D0049B" w:rsidRDefault="00E02735" w:rsidP="00D0049B">
      <w:pPr>
        <w:pStyle w:val="ListParagraph"/>
        <w:numPr>
          <w:ilvl w:val="0"/>
          <w:numId w:val="6"/>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produces a document to the Board, or otherwise uses a document, knowing that it contains a declaration or representation that, to his or her knowledge, is false or misleading in a material particular; or</w:t>
      </w:r>
    </w:p>
    <w:p w14:paraId="7D955C2D" w14:textId="77777777" w:rsidR="00E02735" w:rsidRPr="00D0049B" w:rsidRDefault="00E02735" w:rsidP="00D0049B">
      <w:pPr>
        <w:pStyle w:val="ListParagraph"/>
        <w:numPr>
          <w:ilvl w:val="0"/>
          <w:numId w:val="6"/>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produces a document to the Board, or otherwise uses a document, knowing that it is not genuine.</w:t>
      </w:r>
    </w:p>
    <w:p w14:paraId="2C29294E" w14:textId="3E633F45" w:rsidR="00E02735" w:rsidRPr="00D0049B" w:rsidRDefault="00E02735"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Every person commits an offence, and is liable on conviction to imprisonment for a term not exceeding 3 months or a fine not exceeding $10,000 or both, who holds himself or herself out as a registered social worker when – </w:t>
      </w:r>
    </w:p>
    <w:p w14:paraId="3AE0E343" w14:textId="77777777" w:rsidR="00E02735" w:rsidRPr="00D0049B" w:rsidRDefault="00E02735" w:rsidP="00D0049B">
      <w:pPr>
        <w:pStyle w:val="ListParagraph"/>
        <w:numPr>
          <w:ilvl w:val="0"/>
          <w:numId w:val="7"/>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He or she is not a registered social worker; or</w:t>
      </w:r>
    </w:p>
    <w:p w14:paraId="168701EA" w14:textId="77777777" w:rsidR="0007687B" w:rsidRPr="00D0049B" w:rsidRDefault="00E02735" w:rsidP="00D0049B">
      <w:pPr>
        <w:pStyle w:val="ListParagraph"/>
        <w:numPr>
          <w:ilvl w:val="0"/>
          <w:numId w:val="7"/>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He or she is a registered social worker, but his or her registration is suspended.</w:t>
      </w:r>
    </w:p>
    <w:p w14:paraId="7C567CF2" w14:textId="1049D04A" w:rsidR="0007687B" w:rsidRPr="00D0049B" w:rsidRDefault="0007687B"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Every registered social worker commits an offence and is liable on conviction…</w:t>
      </w:r>
      <w:r w:rsidR="005B7116" w:rsidRPr="00D0049B">
        <w:rPr>
          <w:rFonts w:ascii="Calibri" w:eastAsia="Times" w:hAnsi="Calibri" w:cs="Calibri"/>
          <w:bCs/>
          <w:sz w:val="24"/>
          <w:szCs w:val="24"/>
          <w:lang w:val="en-AU"/>
        </w:rPr>
        <w:t xml:space="preserve"> </w:t>
      </w:r>
      <w:r w:rsidRPr="00D0049B">
        <w:rPr>
          <w:rFonts w:ascii="Calibri" w:eastAsia="Times" w:hAnsi="Calibri" w:cs="Calibri"/>
          <w:bCs/>
          <w:sz w:val="24"/>
          <w:szCs w:val="24"/>
          <w:lang w:val="en-AU"/>
        </w:rPr>
        <w:t>who is engaged or employed as a social worker contrary to section 25 [Practising registered social workers to hold practising certificates].</w:t>
      </w:r>
    </w:p>
    <w:p w14:paraId="72E6B2E2" w14:textId="0074A318" w:rsidR="00E02735" w:rsidRPr="00D0049B" w:rsidRDefault="0007687B"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A person commits an offence, and is liable on conviction…if they hold an employee or a professional social worker out as a social worker, knowing that the employee or associate – </w:t>
      </w:r>
    </w:p>
    <w:p w14:paraId="463ED2E6" w14:textId="712FE1F5" w:rsidR="0007687B" w:rsidRPr="00D0049B" w:rsidRDefault="0007687B" w:rsidP="00D0049B">
      <w:pPr>
        <w:pStyle w:val="ListParagraph"/>
        <w:numPr>
          <w:ilvl w:val="0"/>
          <w:numId w:val="8"/>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Is not a social worker registered under this Act; or</w:t>
      </w:r>
    </w:p>
    <w:p w14:paraId="24B0A4E4" w14:textId="234ABD59" w:rsidR="0007687B" w:rsidRPr="00D0049B" w:rsidRDefault="0007687B" w:rsidP="00D0049B">
      <w:pPr>
        <w:pStyle w:val="ListParagraph"/>
        <w:numPr>
          <w:ilvl w:val="0"/>
          <w:numId w:val="8"/>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Is a social worker registered under this Act –</w:t>
      </w:r>
    </w:p>
    <w:p w14:paraId="30D6ABF0" w14:textId="35EAC600" w:rsidR="0007687B" w:rsidRPr="00D0049B" w:rsidRDefault="0007687B" w:rsidP="00D0049B">
      <w:pPr>
        <w:pStyle w:val="ListParagraph"/>
        <w:numPr>
          <w:ilvl w:val="0"/>
          <w:numId w:val="9"/>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Whose registration is suspended; or</w:t>
      </w:r>
    </w:p>
    <w:p w14:paraId="0ABAB376" w14:textId="21BAC3B8" w:rsidR="0007687B" w:rsidRPr="00D0049B" w:rsidRDefault="0007687B" w:rsidP="00D0049B">
      <w:pPr>
        <w:pStyle w:val="ListParagraph"/>
        <w:numPr>
          <w:ilvl w:val="0"/>
          <w:numId w:val="9"/>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Who does not hold a current practising certificate; or</w:t>
      </w:r>
    </w:p>
    <w:p w14:paraId="14F338D2" w14:textId="65741A6B" w:rsidR="0007687B" w:rsidRPr="00D0049B" w:rsidRDefault="0007687B" w:rsidP="00D0049B">
      <w:pPr>
        <w:pStyle w:val="ListParagraph"/>
        <w:numPr>
          <w:ilvl w:val="0"/>
          <w:numId w:val="9"/>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Who holds a current practising certificate that is </w:t>
      </w:r>
      <w:proofErr w:type="gramStart"/>
      <w:r w:rsidRPr="00D0049B">
        <w:rPr>
          <w:rFonts w:ascii="Calibri" w:eastAsia="Times" w:hAnsi="Calibri" w:cs="Calibri"/>
          <w:bCs/>
          <w:sz w:val="24"/>
          <w:szCs w:val="24"/>
          <w:lang w:val="en-AU"/>
        </w:rPr>
        <w:t>suspended.</w:t>
      </w:r>
      <w:proofErr w:type="gramEnd"/>
    </w:p>
    <w:p w14:paraId="322662B9" w14:textId="47AD40E6" w:rsidR="0007687B" w:rsidRPr="00D0049B" w:rsidRDefault="0007687B"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A social worker commits an offence, and is liable on conviction </w:t>
      </w:r>
      <w:r w:rsidR="005B7116" w:rsidRPr="00D0049B">
        <w:rPr>
          <w:rFonts w:ascii="Calibri" w:eastAsia="Times" w:hAnsi="Calibri" w:cs="Calibri"/>
          <w:bCs/>
          <w:sz w:val="24"/>
          <w:szCs w:val="24"/>
          <w:lang w:val="en-AU"/>
        </w:rPr>
        <w:t>.</w:t>
      </w:r>
      <w:r w:rsidR="00E26B97" w:rsidRPr="00D0049B">
        <w:rPr>
          <w:rFonts w:ascii="Calibri" w:eastAsia="Times" w:hAnsi="Calibri" w:cs="Calibri"/>
          <w:bCs/>
          <w:sz w:val="24"/>
          <w:szCs w:val="24"/>
          <w:lang w:val="en-AU"/>
        </w:rPr>
        <w:t>.</w:t>
      </w:r>
      <w:r w:rsidRPr="00D0049B">
        <w:rPr>
          <w:rFonts w:ascii="Calibri" w:eastAsia="Times" w:hAnsi="Calibri" w:cs="Calibri"/>
          <w:bCs/>
          <w:sz w:val="24"/>
          <w:szCs w:val="24"/>
          <w:lang w:val="en-AU"/>
        </w:rPr>
        <w:t>.who-</w:t>
      </w:r>
    </w:p>
    <w:p w14:paraId="2357CA99" w14:textId="4D70F4D4" w:rsidR="0007687B" w:rsidRPr="00D0049B" w:rsidRDefault="0007687B" w:rsidP="00D0049B">
      <w:pPr>
        <w:pStyle w:val="ListParagraph"/>
        <w:numPr>
          <w:ilvl w:val="0"/>
          <w:numId w:val="10"/>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Holds himself or herself out as holding a current practising certificate when-</w:t>
      </w:r>
    </w:p>
    <w:p w14:paraId="016D59A3" w14:textId="76A9A632" w:rsidR="0007687B" w:rsidRPr="00D0049B" w:rsidRDefault="0007687B" w:rsidP="00D0049B">
      <w:pPr>
        <w:pStyle w:val="ListParagraph"/>
        <w:numPr>
          <w:ilvl w:val="0"/>
          <w:numId w:val="11"/>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He or she does not hold a current practising certificate; or</w:t>
      </w:r>
    </w:p>
    <w:p w14:paraId="6559BFA0" w14:textId="2352AC47" w:rsidR="0007687B" w:rsidRPr="00D0049B" w:rsidRDefault="0007687B" w:rsidP="00D0049B">
      <w:pPr>
        <w:pStyle w:val="ListParagraph"/>
        <w:numPr>
          <w:ilvl w:val="0"/>
          <w:numId w:val="11"/>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His or her current practising certificate is suspended; or</w:t>
      </w:r>
    </w:p>
    <w:p w14:paraId="35A7ED92" w14:textId="7A1772A8" w:rsidR="0007687B" w:rsidRPr="00D0049B" w:rsidRDefault="0007687B" w:rsidP="00D0049B">
      <w:pPr>
        <w:pStyle w:val="ListParagraph"/>
        <w:numPr>
          <w:ilvl w:val="0"/>
          <w:numId w:val="10"/>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Fails or refuses to comply with- </w:t>
      </w:r>
    </w:p>
    <w:p w14:paraId="70967D88" w14:textId="58410833" w:rsidR="0007687B" w:rsidRPr="00D0049B" w:rsidRDefault="0007687B" w:rsidP="00D0049B">
      <w:pPr>
        <w:pStyle w:val="ListParagraph"/>
        <w:numPr>
          <w:ilvl w:val="0"/>
          <w:numId w:val="12"/>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A condition</w:t>
      </w:r>
      <w:r w:rsidR="00FF6D7B" w:rsidRPr="00D0049B">
        <w:rPr>
          <w:rFonts w:ascii="Calibri" w:eastAsia="Times" w:hAnsi="Calibri" w:cs="Calibri"/>
          <w:bCs/>
          <w:sz w:val="24"/>
          <w:szCs w:val="24"/>
          <w:lang w:val="en-AU"/>
        </w:rPr>
        <w:t xml:space="preserve"> on his or her registration; or</w:t>
      </w:r>
    </w:p>
    <w:p w14:paraId="4FEFBC6E" w14:textId="0F6FD465" w:rsidR="00FF6D7B" w:rsidRPr="00D0049B" w:rsidRDefault="00FF6D7B" w:rsidP="00D0049B">
      <w:pPr>
        <w:pStyle w:val="ListParagraph"/>
        <w:numPr>
          <w:ilvl w:val="0"/>
          <w:numId w:val="12"/>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A condition on his or her practising certificate.</w:t>
      </w:r>
    </w:p>
    <w:p w14:paraId="5033D645" w14:textId="19EE1712" w:rsidR="00FF6D7B" w:rsidRPr="00D0049B" w:rsidRDefault="00FF6D7B"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A person commits an offence and is liable on conviction to a fine not exceeding $2000, if they disclose information in breach of section 46(1) [Confidentiality of information].</w:t>
      </w:r>
    </w:p>
    <w:p w14:paraId="0850C5D3" w14:textId="56C28768" w:rsidR="00FF6D7B" w:rsidRPr="00D0049B" w:rsidRDefault="00FF6D7B"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 xml:space="preserve">A person commits an offence, and is liable on conviction to a fine not exceeding $2000, if they receive a production notice under section 68B [issued by a PCC] and – </w:t>
      </w:r>
    </w:p>
    <w:p w14:paraId="2879789D" w14:textId="09C51E4E" w:rsidR="00FF6D7B" w:rsidRPr="00D0049B" w:rsidRDefault="00FF6D7B" w:rsidP="00D0049B">
      <w:pPr>
        <w:pStyle w:val="ListParagraph"/>
        <w:numPr>
          <w:ilvl w:val="0"/>
          <w:numId w:val="13"/>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Refuse or fail without reasonable excuse to comply with the notice; or</w:t>
      </w:r>
    </w:p>
    <w:p w14:paraId="6A285F8A" w14:textId="20AD5C83" w:rsidR="00FF6D7B" w:rsidRPr="00D0049B" w:rsidRDefault="00FF6D7B" w:rsidP="00D0049B">
      <w:pPr>
        <w:pStyle w:val="ListParagraph"/>
        <w:numPr>
          <w:ilvl w:val="0"/>
          <w:numId w:val="13"/>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Knowingly or recklessly provide information that is false or misleading in any material particular.</w:t>
      </w:r>
    </w:p>
    <w:p w14:paraId="1A0B9684" w14:textId="6BF622FC" w:rsidR="00867E0C" w:rsidRPr="00D0049B" w:rsidRDefault="00FF6D7B" w:rsidP="00D0049B">
      <w:pPr>
        <w:pStyle w:val="ListParagraph"/>
        <w:numPr>
          <w:ilvl w:val="0"/>
          <w:numId w:val="5"/>
        </w:numPr>
        <w:tabs>
          <w:tab w:val="left" w:pos="567"/>
        </w:tabs>
        <w:spacing w:after="0" w:line="240" w:lineRule="auto"/>
        <w:jc w:val="both"/>
        <w:rPr>
          <w:rFonts w:ascii="Calibri" w:eastAsia="Times" w:hAnsi="Calibri" w:cs="Calibri"/>
          <w:bCs/>
          <w:sz w:val="24"/>
          <w:szCs w:val="24"/>
          <w:lang w:val="en-AU"/>
        </w:rPr>
      </w:pPr>
      <w:r w:rsidRPr="00D0049B">
        <w:rPr>
          <w:rFonts w:ascii="Calibri" w:eastAsia="Times" w:hAnsi="Calibri" w:cs="Calibri"/>
          <w:bCs/>
          <w:sz w:val="24"/>
          <w:szCs w:val="24"/>
          <w:lang w:val="en-AU"/>
        </w:rPr>
        <w:t>A person commits an offence, and is liable on conviction to a fine not exceeding $2000 if they intentionally and without lawful excuse publish any information in breach of a suppression order made under section 79(2)(b) to (d) or in breach of section 80(6</w:t>
      </w:r>
      <w:r w:rsidR="00E54671" w:rsidRPr="00D0049B">
        <w:rPr>
          <w:rFonts w:ascii="Calibri" w:eastAsia="Times" w:hAnsi="Calibri" w:cs="Calibri"/>
          <w:bCs/>
          <w:sz w:val="24"/>
          <w:szCs w:val="24"/>
          <w:lang w:val="en-AU"/>
        </w:rPr>
        <w:t>).</w:t>
      </w:r>
    </w:p>
    <w:p w14:paraId="71072907" w14:textId="77777777" w:rsidR="00D0049B" w:rsidRDefault="00D0049B" w:rsidP="00D0049B">
      <w:pPr>
        <w:tabs>
          <w:tab w:val="left" w:pos="567"/>
        </w:tabs>
        <w:spacing w:after="0" w:line="360" w:lineRule="auto"/>
        <w:ind w:left="567"/>
        <w:jc w:val="both"/>
        <w:rPr>
          <w:rFonts w:ascii="Calibri" w:eastAsia="Times" w:hAnsi="Calibri" w:cs="Calibri"/>
          <w:bCs/>
          <w:sz w:val="24"/>
          <w:szCs w:val="24"/>
          <w:lang w:val="en-AU"/>
        </w:rPr>
      </w:pPr>
    </w:p>
    <w:p w14:paraId="020BD7E1" w14:textId="65D2591D" w:rsidR="006A2559" w:rsidRPr="00831A0A" w:rsidRDefault="005E6DB7" w:rsidP="00831A0A">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sanctions set out under section 148 are not included in the statutory powers given to the Tribunal. </w:t>
      </w:r>
      <w:r w:rsidR="00831A0A">
        <w:rPr>
          <w:rFonts w:ascii="Calibri" w:eastAsia="Times" w:hAnsi="Calibri" w:cs="Calibri"/>
          <w:bCs/>
          <w:sz w:val="24"/>
          <w:szCs w:val="24"/>
          <w:lang w:val="en-AU"/>
        </w:rPr>
        <w:t>S</w:t>
      </w:r>
      <w:r w:rsidR="00ED762A" w:rsidRPr="00831A0A">
        <w:rPr>
          <w:rFonts w:ascii="Calibri" w:eastAsia="Times" w:hAnsi="Calibri" w:cs="Calibri"/>
          <w:bCs/>
          <w:sz w:val="24"/>
          <w:szCs w:val="24"/>
          <w:lang w:val="en-AU"/>
        </w:rPr>
        <w:t xml:space="preserve">ection 148 explicitly provides authority over past conduct </w:t>
      </w:r>
      <w:proofErr w:type="gramStart"/>
      <w:r w:rsidR="00ED762A" w:rsidRPr="00831A0A">
        <w:rPr>
          <w:rFonts w:ascii="Calibri" w:eastAsia="Times" w:hAnsi="Calibri" w:cs="Calibri"/>
          <w:bCs/>
          <w:sz w:val="24"/>
          <w:szCs w:val="24"/>
          <w:lang w:val="en-AU"/>
        </w:rPr>
        <w:t>and  supports</w:t>
      </w:r>
      <w:proofErr w:type="gramEnd"/>
      <w:r w:rsidR="00ED762A" w:rsidRPr="00831A0A">
        <w:rPr>
          <w:rFonts w:ascii="Calibri" w:eastAsia="Times" w:hAnsi="Calibri" w:cs="Calibri"/>
          <w:bCs/>
          <w:sz w:val="24"/>
          <w:szCs w:val="24"/>
          <w:lang w:val="en-AU"/>
        </w:rPr>
        <w:t xml:space="preserve"> the view that had Parliament intended to cover pre-registration conduct</w:t>
      </w:r>
      <w:r w:rsidR="001603CB" w:rsidRPr="00831A0A">
        <w:rPr>
          <w:rFonts w:ascii="Calibri" w:eastAsia="Times" w:hAnsi="Calibri" w:cs="Calibri"/>
          <w:bCs/>
          <w:sz w:val="24"/>
          <w:szCs w:val="24"/>
          <w:lang w:val="en-AU"/>
        </w:rPr>
        <w:t xml:space="preserve"> in the Tribunal’s </w:t>
      </w:r>
      <w:r w:rsidR="008824A9">
        <w:rPr>
          <w:rFonts w:ascii="Calibri" w:eastAsia="Times" w:hAnsi="Calibri" w:cs="Calibri"/>
          <w:bCs/>
          <w:sz w:val="24"/>
          <w:szCs w:val="24"/>
          <w:lang w:val="en-AU"/>
        </w:rPr>
        <w:t xml:space="preserve">power to make findings </w:t>
      </w:r>
      <w:r w:rsidR="00E032C6">
        <w:rPr>
          <w:rFonts w:ascii="Calibri" w:eastAsia="Times" w:hAnsi="Calibri" w:cs="Calibri"/>
          <w:bCs/>
          <w:sz w:val="24"/>
          <w:szCs w:val="24"/>
          <w:lang w:val="en-AU"/>
        </w:rPr>
        <w:t>under section 82(1)(a) and (b)</w:t>
      </w:r>
      <w:r w:rsidR="00ED762A" w:rsidRPr="00831A0A">
        <w:rPr>
          <w:rFonts w:ascii="Calibri" w:eastAsia="Times" w:hAnsi="Calibri" w:cs="Calibri"/>
          <w:bCs/>
          <w:sz w:val="24"/>
          <w:szCs w:val="24"/>
          <w:lang w:val="en-AU"/>
        </w:rPr>
        <w:t xml:space="preserve">, it would have provided so explicitly. </w:t>
      </w:r>
    </w:p>
    <w:p w14:paraId="25229752" w14:textId="06CF636D" w:rsidR="00645DD0" w:rsidRPr="00CB4D8A" w:rsidRDefault="000508F9" w:rsidP="00CB4D8A">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As is </w:t>
      </w:r>
      <w:r w:rsidR="00F14587">
        <w:rPr>
          <w:rFonts w:ascii="Calibri" w:eastAsia="Times" w:hAnsi="Calibri" w:cs="Calibri"/>
          <w:bCs/>
          <w:sz w:val="24"/>
          <w:szCs w:val="24"/>
          <w:lang w:val="en-AU"/>
        </w:rPr>
        <w:t>apparent</w:t>
      </w:r>
      <w:r w:rsidR="00D157F5">
        <w:rPr>
          <w:rFonts w:ascii="Calibri" w:eastAsia="Times" w:hAnsi="Calibri" w:cs="Calibri"/>
          <w:bCs/>
          <w:sz w:val="24"/>
          <w:szCs w:val="24"/>
          <w:lang w:val="en-AU"/>
        </w:rPr>
        <w:t>,</w:t>
      </w:r>
      <w:r w:rsidR="00645DD0">
        <w:rPr>
          <w:rFonts w:ascii="Calibri" w:eastAsia="Times" w:hAnsi="Calibri" w:cs="Calibri"/>
          <w:bCs/>
          <w:sz w:val="24"/>
          <w:szCs w:val="24"/>
          <w:lang w:val="en-AU"/>
        </w:rPr>
        <w:t xml:space="preserve"> section 148</w:t>
      </w:r>
      <w:r w:rsidR="00D157F5">
        <w:rPr>
          <w:rFonts w:ascii="Calibri" w:eastAsia="Times" w:hAnsi="Calibri" w:cs="Calibri"/>
          <w:bCs/>
          <w:sz w:val="24"/>
          <w:szCs w:val="24"/>
          <w:lang w:val="en-AU"/>
        </w:rPr>
        <w:t xml:space="preserve"> </w:t>
      </w:r>
      <w:r w:rsidR="00645DD0">
        <w:rPr>
          <w:rFonts w:ascii="Calibri" w:eastAsia="Times" w:hAnsi="Calibri" w:cs="Calibri"/>
          <w:bCs/>
          <w:sz w:val="24"/>
          <w:szCs w:val="24"/>
          <w:lang w:val="en-AU"/>
        </w:rPr>
        <w:t xml:space="preserve">provides that certain conduct constitutes an offence subject to conviction, a term of imprisonment and a fine. Some of the offences under this section expressly include any person (“every person” or “a person”). Other offences under section 148 use the more restrictive term “a social worker” or “every registered social worker” (for example, section 148(3) and section 148(5)), as do the provisions which cover the powers of the Tribunal. </w:t>
      </w:r>
      <w:r w:rsidR="00645DD0" w:rsidRPr="00CB4D8A">
        <w:rPr>
          <w:rFonts w:ascii="Calibri" w:eastAsia="Times" w:hAnsi="Calibri" w:cs="Calibri"/>
          <w:bCs/>
          <w:sz w:val="24"/>
          <w:szCs w:val="24"/>
          <w:lang w:val="en-AU"/>
        </w:rPr>
        <w:t>In the Tribunal’s view, this along with the fact that the SWR Act expressly provides for the consideration of past conduct when assessing a person’s competence or fitness to be registered</w:t>
      </w:r>
      <w:r w:rsidR="007D63B4">
        <w:rPr>
          <w:rFonts w:ascii="Calibri" w:eastAsia="Times" w:hAnsi="Calibri" w:cs="Calibri"/>
          <w:bCs/>
          <w:sz w:val="24"/>
          <w:szCs w:val="24"/>
          <w:lang w:val="en-AU"/>
        </w:rPr>
        <w:t xml:space="preserve"> (discussed below)</w:t>
      </w:r>
      <w:r w:rsidR="00645DD0" w:rsidRPr="00CB4D8A">
        <w:rPr>
          <w:rFonts w:ascii="Calibri" w:eastAsia="Times" w:hAnsi="Calibri" w:cs="Calibri"/>
          <w:bCs/>
          <w:sz w:val="24"/>
          <w:szCs w:val="24"/>
          <w:lang w:val="en-AU"/>
        </w:rPr>
        <w:t xml:space="preserve">, supports </w:t>
      </w:r>
      <w:r w:rsidR="00BA5572">
        <w:rPr>
          <w:rFonts w:ascii="Calibri" w:eastAsia="Times" w:hAnsi="Calibri" w:cs="Calibri"/>
          <w:bCs/>
          <w:sz w:val="24"/>
          <w:szCs w:val="24"/>
          <w:lang w:val="en-AU"/>
        </w:rPr>
        <w:t>a finding</w:t>
      </w:r>
      <w:r w:rsidR="00645DD0" w:rsidRPr="00CB4D8A">
        <w:rPr>
          <w:rFonts w:ascii="Calibri" w:eastAsia="Times" w:hAnsi="Calibri" w:cs="Calibri"/>
          <w:bCs/>
          <w:sz w:val="24"/>
          <w:szCs w:val="24"/>
          <w:lang w:val="en-AU"/>
        </w:rPr>
        <w:t xml:space="preserve"> that this use of language deliberate</w:t>
      </w:r>
      <w:r w:rsidR="00BA5572">
        <w:rPr>
          <w:rFonts w:ascii="Calibri" w:eastAsia="Times" w:hAnsi="Calibri" w:cs="Calibri"/>
          <w:bCs/>
          <w:sz w:val="24"/>
          <w:szCs w:val="24"/>
          <w:lang w:val="en-AU"/>
        </w:rPr>
        <w:t>ly</w:t>
      </w:r>
      <w:r w:rsidR="00645DD0" w:rsidRPr="00CB4D8A">
        <w:rPr>
          <w:rFonts w:ascii="Calibri" w:eastAsia="Times" w:hAnsi="Calibri" w:cs="Calibri"/>
          <w:bCs/>
          <w:sz w:val="24"/>
          <w:szCs w:val="24"/>
          <w:lang w:val="en-AU"/>
        </w:rPr>
        <w:t xml:space="preserve"> </w:t>
      </w:r>
      <w:r w:rsidR="00D74605" w:rsidRPr="00CB4D8A">
        <w:rPr>
          <w:rFonts w:ascii="Calibri" w:eastAsia="Times" w:hAnsi="Calibri" w:cs="Calibri"/>
          <w:bCs/>
          <w:sz w:val="24"/>
          <w:szCs w:val="24"/>
          <w:lang w:val="en-AU"/>
        </w:rPr>
        <w:t>draw</w:t>
      </w:r>
      <w:r w:rsidR="00D74605">
        <w:rPr>
          <w:rFonts w:ascii="Calibri" w:eastAsia="Times" w:hAnsi="Calibri" w:cs="Calibri"/>
          <w:bCs/>
          <w:sz w:val="24"/>
          <w:szCs w:val="24"/>
          <w:lang w:val="en-AU"/>
        </w:rPr>
        <w:t>s a</w:t>
      </w:r>
      <w:r w:rsidR="00645DD0" w:rsidRPr="00CB4D8A">
        <w:rPr>
          <w:rFonts w:ascii="Calibri" w:eastAsia="Times" w:hAnsi="Calibri" w:cs="Calibri"/>
          <w:bCs/>
          <w:sz w:val="24"/>
          <w:szCs w:val="24"/>
          <w:lang w:val="en-AU"/>
        </w:rPr>
        <w:t xml:space="preserve"> distinction between social workers</w:t>
      </w:r>
      <w:r w:rsidR="00780C5E">
        <w:rPr>
          <w:rFonts w:ascii="Calibri" w:eastAsia="Times" w:hAnsi="Calibri" w:cs="Calibri"/>
          <w:bCs/>
          <w:sz w:val="24"/>
          <w:szCs w:val="24"/>
          <w:lang w:val="en-AU"/>
        </w:rPr>
        <w:t xml:space="preserve">, </w:t>
      </w:r>
      <w:r w:rsidR="00C919D6">
        <w:rPr>
          <w:rFonts w:ascii="Calibri" w:eastAsia="Times" w:hAnsi="Calibri" w:cs="Calibri"/>
          <w:bCs/>
          <w:sz w:val="24"/>
          <w:szCs w:val="24"/>
          <w:lang w:val="en-AU"/>
        </w:rPr>
        <w:t>registered social worker</w:t>
      </w:r>
      <w:r w:rsidR="00780C5E">
        <w:rPr>
          <w:rFonts w:ascii="Calibri" w:eastAsia="Times" w:hAnsi="Calibri" w:cs="Calibri"/>
          <w:bCs/>
          <w:sz w:val="24"/>
          <w:szCs w:val="24"/>
          <w:lang w:val="en-AU"/>
        </w:rPr>
        <w:t xml:space="preserve">s, </w:t>
      </w:r>
      <w:r w:rsidR="00645DD0" w:rsidRPr="00CB4D8A">
        <w:rPr>
          <w:rFonts w:ascii="Calibri" w:eastAsia="Times" w:hAnsi="Calibri" w:cs="Calibri"/>
          <w:bCs/>
          <w:sz w:val="24"/>
          <w:szCs w:val="24"/>
          <w:lang w:val="en-AU"/>
        </w:rPr>
        <w:t xml:space="preserve">and “persons” or “applicants” </w:t>
      </w:r>
      <w:r w:rsidR="004752CE">
        <w:rPr>
          <w:rFonts w:ascii="Calibri" w:eastAsia="Times" w:hAnsi="Calibri" w:cs="Calibri"/>
          <w:bCs/>
          <w:sz w:val="24"/>
          <w:szCs w:val="24"/>
          <w:lang w:val="en-AU"/>
        </w:rPr>
        <w:t>(</w:t>
      </w:r>
      <w:r w:rsidR="00645DD0" w:rsidRPr="00CB4D8A">
        <w:rPr>
          <w:rFonts w:ascii="Calibri" w:eastAsia="Times" w:hAnsi="Calibri" w:cs="Calibri"/>
          <w:bCs/>
          <w:sz w:val="24"/>
          <w:szCs w:val="24"/>
          <w:lang w:val="en-AU"/>
        </w:rPr>
        <w:t>for registration</w:t>
      </w:r>
      <w:r w:rsidR="004752CE">
        <w:rPr>
          <w:rFonts w:ascii="Calibri" w:eastAsia="Times" w:hAnsi="Calibri" w:cs="Calibri"/>
          <w:bCs/>
          <w:sz w:val="24"/>
          <w:szCs w:val="24"/>
          <w:lang w:val="en-AU"/>
        </w:rPr>
        <w:t>)</w:t>
      </w:r>
      <w:r w:rsidR="00645DD0" w:rsidRPr="00CB4D8A">
        <w:rPr>
          <w:rFonts w:ascii="Calibri" w:eastAsia="Times" w:hAnsi="Calibri" w:cs="Calibri"/>
          <w:bCs/>
          <w:sz w:val="24"/>
          <w:szCs w:val="24"/>
          <w:lang w:val="en-AU"/>
        </w:rPr>
        <w:t>.</w:t>
      </w:r>
    </w:p>
    <w:p w14:paraId="3B13FC28" w14:textId="603F9B30" w:rsidR="00645DD0" w:rsidRPr="00BE1C22" w:rsidRDefault="00645DD0" w:rsidP="003A676E">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It is not the case that a person who holds himself or herself</w:t>
      </w:r>
      <w:r w:rsidR="00EE4BDF">
        <w:rPr>
          <w:rFonts w:ascii="Calibri" w:eastAsia="Times" w:hAnsi="Calibri" w:cs="Calibri"/>
          <w:bCs/>
          <w:sz w:val="24"/>
          <w:szCs w:val="24"/>
          <w:lang w:val="en-AU"/>
        </w:rPr>
        <w:t xml:space="preserve"> or themselves</w:t>
      </w:r>
      <w:r>
        <w:rPr>
          <w:rFonts w:ascii="Calibri" w:eastAsia="Times" w:hAnsi="Calibri" w:cs="Calibri"/>
          <w:bCs/>
          <w:sz w:val="24"/>
          <w:szCs w:val="24"/>
          <w:lang w:val="en-AU"/>
        </w:rPr>
        <w:t xml:space="preserve"> out as a</w:t>
      </w:r>
      <w:r w:rsidR="00780C5E">
        <w:rPr>
          <w:rFonts w:ascii="Calibri" w:eastAsia="Times" w:hAnsi="Calibri" w:cs="Calibri"/>
          <w:bCs/>
          <w:sz w:val="24"/>
          <w:szCs w:val="24"/>
          <w:lang w:val="en-AU"/>
        </w:rPr>
        <w:t xml:space="preserve"> (registered)</w:t>
      </w:r>
      <w:r>
        <w:rPr>
          <w:rFonts w:ascii="Calibri" w:eastAsia="Times" w:hAnsi="Calibri" w:cs="Calibri"/>
          <w:bCs/>
          <w:sz w:val="24"/>
          <w:szCs w:val="24"/>
          <w:lang w:val="en-AU"/>
        </w:rPr>
        <w:t xml:space="preserve"> social worker and who was not</w:t>
      </w:r>
      <w:r w:rsidR="007D0145">
        <w:rPr>
          <w:rFonts w:ascii="Calibri" w:eastAsia="Times" w:hAnsi="Calibri" w:cs="Calibri"/>
          <w:bCs/>
          <w:sz w:val="24"/>
          <w:szCs w:val="24"/>
          <w:lang w:val="en-AU"/>
        </w:rPr>
        <w:t xml:space="preserve"> or has not</w:t>
      </w:r>
      <w:r>
        <w:rPr>
          <w:rFonts w:ascii="Calibri" w:eastAsia="Times" w:hAnsi="Calibri" w:cs="Calibri"/>
          <w:bCs/>
          <w:sz w:val="24"/>
          <w:szCs w:val="24"/>
          <w:lang w:val="en-AU"/>
        </w:rPr>
        <w:t xml:space="preserve"> been registered or was not registered at the time</w:t>
      </w:r>
      <w:r w:rsidR="00B1093E">
        <w:rPr>
          <w:rFonts w:ascii="Calibri" w:eastAsia="Times" w:hAnsi="Calibri" w:cs="Calibri"/>
          <w:bCs/>
          <w:sz w:val="24"/>
          <w:szCs w:val="24"/>
          <w:lang w:val="en-AU"/>
        </w:rPr>
        <w:t>,</w:t>
      </w:r>
      <w:r>
        <w:rPr>
          <w:rFonts w:ascii="Calibri" w:eastAsia="Times" w:hAnsi="Calibri" w:cs="Calibri"/>
          <w:bCs/>
          <w:sz w:val="24"/>
          <w:szCs w:val="24"/>
          <w:lang w:val="en-AU"/>
        </w:rPr>
        <w:t xml:space="preserve"> can do so with impunity. Such a person may be charged under section 148</w:t>
      </w:r>
      <w:r w:rsidR="00350471">
        <w:rPr>
          <w:rFonts w:ascii="Calibri" w:eastAsia="Times" w:hAnsi="Calibri" w:cs="Calibri"/>
          <w:bCs/>
          <w:sz w:val="24"/>
          <w:szCs w:val="24"/>
          <w:lang w:val="en-AU"/>
        </w:rPr>
        <w:t>(2)</w:t>
      </w:r>
      <w:r w:rsidR="00502272">
        <w:rPr>
          <w:rFonts w:ascii="Calibri" w:eastAsia="Times" w:hAnsi="Calibri" w:cs="Calibri"/>
          <w:bCs/>
          <w:sz w:val="24"/>
          <w:szCs w:val="24"/>
          <w:lang w:val="en-AU"/>
        </w:rPr>
        <w:t xml:space="preserve"> and could be the subject of civil liability as well as to a fitness to practise assessment by the Board</w:t>
      </w:r>
      <w:r>
        <w:rPr>
          <w:rFonts w:ascii="Calibri" w:eastAsia="Times" w:hAnsi="Calibri" w:cs="Calibri"/>
          <w:bCs/>
          <w:sz w:val="24"/>
          <w:szCs w:val="24"/>
          <w:lang w:val="en-AU"/>
        </w:rPr>
        <w:t xml:space="preserve">. </w:t>
      </w:r>
      <w:r w:rsidR="00BE1C22">
        <w:rPr>
          <w:rFonts w:ascii="Calibri" w:eastAsia="Times" w:hAnsi="Calibri" w:cs="Calibri"/>
          <w:bCs/>
          <w:sz w:val="24"/>
          <w:szCs w:val="24"/>
          <w:lang w:val="en-AU"/>
        </w:rPr>
        <w:t xml:space="preserve">Having regard to the conduct alleged in the </w:t>
      </w:r>
      <w:r w:rsidR="00350471">
        <w:rPr>
          <w:rFonts w:ascii="Calibri" w:eastAsia="Times" w:hAnsi="Calibri" w:cs="Calibri"/>
          <w:bCs/>
          <w:sz w:val="24"/>
          <w:szCs w:val="24"/>
          <w:lang w:val="en-AU"/>
        </w:rPr>
        <w:t>C</w:t>
      </w:r>
      <w:r w:rsidR="00BE1C22">
        <w:rPr>
          <w:rFonts w:ascii="Calibri" w:eastAsia="Times" w:hAnsi="Calibri" w:cs="Calibri"/>
          <w:bCs/>
          <w:sz w:val="24"/>
          <w:szCs w:val="24"/>
          <w:lang w:val="en-AU"/>
        </w:rPr>
        <w:t xml:space="preserve">harge in this case, it </w:t>
      </w:r>
      <w:r w:rsidR="007D1342">
        <w:rPr>
          <w:rFonts w:ascii="Calibri" w:eastAsia="Times" w:hAnsi="Calibri" w:cs="Calibri"/>
          <w:bCs/>
          <w:sz w:val="24"/>
          <w:szCs w:val="24"/>
          <w:lang w:val="en-AU"/>
        </w:rPr>
        <w:t>may be</w:t>
      </w:r>
      <w:r w:rsidR="00BE1C22">
        <w:rPr>
          <w:rFonts w:ascii="Calibri" w:eastAsia="Times" w:hAnsi="Calibri" w:cs="Calibri"/>
          <w:bCs/>
          <w:sz w:val="24"/>
          <w:szCs w:val="24"/>
          <w:lang w:val="en-AU"/>
        </w:rPr>
        <w:t xml:space="preserve"> open to the Board</w:t>
      </w:r>
      <w:r w:rsidR="006642F0">
        <w:rPr>
          <w:rFonts w:ascii="Calibri" w:eastAsia="Times" w:hAnsi="Calibri" w:cs="Calibri"/>
          <w:bCs/>
          <w:sz w:val="24"/>
          <w:szCs w:val="24"/>
          <w:lang w:val="en-AU"/>
        </w:rPr>
        <w:t xml:space="preserve"> or MSD</w:t>
      </w:r>
      <w:r w:rsidR="00BE1C22">
        <w:rPr>
          <w:rFonts w:ascii="Calibri" w:eastAsia="Times" w:hAnsi="Calibri" w:cs="Calibri"/>
          <w:bCs/>
          <w:sz w:val="24"/>
          <w:szCs w:val="24"/>
          <w:lang w:val="en-AU"/>
        </w:rPr>
        <w:t xml:space="preserve"> to commence a court proceeding against the practitioner </w:t>
      </w:r>
      <w:r w:rsidR="00284F19">
        <w:rPr>
          <w:rFonts w:ascii="Calibri" w:eastAsia="Times" w:hAnsi="Calibri" w:cs="Calibri"/>
          <w:bCs/>
          <w:sz w:val="24"/>
          <w:szCs w:val="24"/>
          <w:lang w:val="en-AU"/>
        </w:rPr>
        <w:t xml:space="preserve">for an offence </w:t>
      </w:r>
      <w:r w:rsidR="00B1093E">
        <w:rPr>
          <w:rFonts w:ascii="Calibri" w:eastAsia="Times" w:hAnsi="Calibri" w:cs="Calibri"/>
          <w:bCs/>
          <w:sz w:val="24"/>
          <w:szCs w:val="24"/>
          <w:lang w:val="en-AU"/>
        </w:rPr>
        <w:t>against</w:t>
      </w:r>
      <w:r w:rsidR="00BE1C22">
        <w:rPr>
          <w:rFonts w:ascii="Calibri" w:eastAsia="Times" w:hAnsi="Calibri" w:cs="Calibri"/>
          <w:bCs/>
          <w:sz w:val="24"/>
          <w:szCs w:val="24"/>
          <w:lang w:val="en-AU"/>
        </w:rPr>
        <w:t xml:space="preserve"> section 148(2)(a)</w:t>
      </w:r>
      <w:r w:rsidR="00B33751">
        <w:rPr>
          <w:rFonts w:ascii="Calibri" w:eastAsia="Times" w:hAnsi="Calibri" w:cs="Calibri"/>
          <w:bCs/>
          <w:sz w:val="24"/>
          <w:szCs w:val="24"/>
          <w:lang w:val="en-AU"/>
        </w:rPr>
        <w:t xml:space="preserve"> (</w:t>
      </w:r>
      <w:r w:rsidR="008E10D2">
        <w:rPr>
          <w:rFonts w:ascii="Calibri" w:eastAsia="Times" w:hAnsi="Calibri" w:cs="Calibri"/>
          <w:bCs/>
          <w:sz w:val="24"/>
          <w:szCs w:val="24"/>
          <w:lang w:val="en-AU"/>
        </w:rPr>
        <w:t xml:space="preserve">if </w:t>
      </w:r>
      <w:r w:rsidR="00B33751">
        <w:rPr>
          <w:rFonts w:ascii="Calibri" w:eastAsia="Times" w:hAnsi="Calibri" w:cs="Calibri"/>
          <w:bCs/>
          <w:sz w:val="24"/>
          <w:szCs w:val="24"/>
          <w:lang w:val="en-AU"/>
        </w:rPr>
        <w:t>the conduct involved the practitioner holding herself as a registered social worker employed by Oranga Tamariki)</w:t>
      </w:r>
      <w:r w:rsidR="00F04E65">
        <w:rPr>
          <w:rFonts w:ascii="Calibri" w:eastAsia="Times" w:hAnsi="Calibri" w:cs="Calibri"/>
          <w:bCs/>
          <w:sz w:val="24"/>
          <w:szCs w:val="24"/>
          <w:lang w:val="en-AU"/>
        </w:rPr>
        <w:t>, or alternatively for a complaint to be laid w</w:t>
      </w:r>
      <w:r w:rsidR="00B33751">
        <w:rPr>
          <w:rFonts w:ascii="Calibri" w:eastAsia="Times" w:hAnsi="Calibri" w:cs="Calibri"/>
          <w:bCs/>
          <w:sz w:val="24"/>
          <w:szCs w:val="24"/>
          <w:lang w:val="en-AU"/>
        </w:rPr>
        <w:t>ith Police for alleged criminal offending.</w:t>
      </w:r>
      <w:r w:rsidR="004F5972">
        <w:rPr>
          <w:rFonts w:ascii="Calibri" w:eastAsia="Times" w:hAnsi="Calibri" w:cs="Calibri"/>
          <w:bCs/>
          <w:sz w:val="24"/>
          <w:szCs w:val="24"/>
          <w:lang w:val="en-AU"/>
        </w:rPr>
        <w:t xml:space="preserve"> Were the conduct to result in a </w:t>
      </w:r>
      <w:r w:rsidR="0024766C">
        <w:rPr>
          <w:rFonts w:ascii="Calibri" w:eastAsia="Times" w:hAnsi="Calibri" w:cs="Calibri"/>
          <w:bCs/>
          <w:sz w:val="24"/>
          <w:szCs w:val="24"/>
          <w:lang w:val="en-AU"/>
        </w:rPr>
        <w:t xml:space="preserve">criminal </w:t>
      </w:r>
      <w:r w:rsidR="004F5972">
        <w:rPr>
          <w:rFonts w:ascii="Calibri" w:eastAsia="Times" w:hAnsi="Calibri" w:cs="Calibri"/>
          <w:bCs/>
          <w:sz w:val="24"/>
          <w:szCs w:val="24"/>
          <w:lang w:val="en-AU"/>
        </w:rPr>
        <w:t>conviction then the conviction</w:t>
      </w:r>
      <w:r w:rsidR="0024766C">
        <w:rPr>
          <w:rFonts w:ascii="Calibri" w:eastAsia="Times" w:hAnsi="Calibri" w:cs="Calibri"/>
          <w:bCs/>
          <w:sz w:val="24"/>
          <w:szCs w:val="24"/>
          <w:lang w:val="en-AU"/>
        </w:rPr>
        <w:t xml:space="preserve"> (</w:t>
      </w:r>
      <w:r w:rsidR="007C5373">
        <w:rPr>
          <w:rFonts w:ascii="Calibri" w:eastAsia="Times" w:hAnsi="Calibri" w:cs="Calibri"/>
          <w:bCs/>
          <w:sz w:val="24"/>
          <w:szCs w:val="24"/>
          <w:lang w:val="en-AU"/>
        </w:rPr>
        <w:t>if it was for</w:t>
      </w:r>
      <w:r w:rsidR="0024766C">
        <w:rPr>
          <w:rFonts w:ascii="Calibri" w:eastAsia="Times" w:hAnsi="Calibri" w:cs="Calibri"/>
          <w:bCs/>
          <w:sz w:val="24"/>
          <w:szCs w:val="24"/>
          <w:lang w:val="en-AU"/>
        </w:rPr>
        <w:t xml:space="preserve"> a qualifying offence)</w:t>
      </w:r>
      <w:r w:rsidR="004F5972">
        <w:rPr>
          <w:rFonts w:ascii="Calibri" w:eastAsia="Times" w:hAnsi="Calibri" w:cs="Calibri"/>
          <w:bCs/>
          <w:sz w:val="24"/>
          <w:szCs w:val="24"/>
          <w:lang w:val="en-AU"/>
        </w:rPr>
        <w:t xml:space="preserve"> may be referred to the Tribunal by way of a charge laid by a PCC</w:t>
      </w:r>
      <w:r w:rsidR="004617E8">
        <w:rPr>
          <w:rFonts w:ascii="Calibri" w:eastAsia="Times" w:hAnsi="Calibri" w:cs="Calibri"/>
          <w:bCs/>
          <w:sz w:val="24"/>
          <w:szCs w:val="24"/>
          <w:lang w:val="en-AU"/>
        </w:rPr>
        <w:t xml:space="preserve"> under section 82(1)(c)</w:t>
      </w:r>
      <w:r w:rsidR="003F4877">
        <w:rPr>
          <w:rFonts w:ascii="Calibri" w:eastAsia="Times" w:hAnsi="Calibri" w:cs="Calibri"/>
          <w:bCs/>
          <w:sz w:val="24"/>
          <w:szCs w:val="24"/>
          <w:lang w:val="en-AU"/>
        </w:rPr>
        <w:t>. T</w:t>
      </w:r>
      <w:r w:rsidR="004F5972">
        <w:rPr>
          <w:rFonts w:ascii="Calibri" w:eastAsia="Times" w:hAnsi="Calibri" w:cs="Calibri"/>
          <w:bCs/>
          <w:sz w:val="24"/>
          <w:szCs w:val="24"/>
          <w:lang w:val="en-AU"/>
        </w:rPr>
        <w:t xml:space="preserve">hen (and only then) </w:t>
      </w:r>
      <w:r w:rsidR="0024766C">
        <w:rPr>
          <w:rFonts w:ascii="Calibri" w:eastAsia="Times" w:hAnsi="Calibri" w:cs="Calibri"/>
          <w:bCs/>
          <w:sz w:val="24"/>
          <w:szCs w:val="24"/>
          <w:lang w:val="en-AU"/>
        </w:rPr>
        <w:t xml:space="preserve">the conduct </w:t>
      </w:r>
      <w:r w:rsidR="00F37460">
        <w:rPr>
          <w:rFonts w:ascii="Calibri" w:eastAsia="Times" w:hAnsi="Calibri" w:cs="Calibri"/>
          <w:bCs/>
          <w:sz w:val="24"/>
          <w:szCs w:val="24"/>
          <w:lang w:val="en-AU"/>
        </w:rPr>
        <w:t>which led</w:t>
      </w:r>
      <w:r w:rsidR="0024766C">
        <w:rPr>
          <w:rFonts w:ascii="Calibri" w:eastAsia="Times" w:hAnsi="Calibri" w:cs="Calibri"/>
          <w:bCs/>
          <w:sz w:val="24"/>
          <w:szCs w:val="24"/>
          <w:lang w:val="en-AU"/>
        </w:rPr>
        <w:t xml:space="preserve"> to the conviction </w:t>
      </w:r>
      <w:r w:rsidR="00F37460">
        <w:rPr>
          <w:rFonts w:ascii="Calibri" w:eastAsia="Times" w:hAnsi="Calibri" w:cs="Calibri"/>
          <w:bCs/>
          <w:sz w:val="24"/>
          <w:szCs w:val="24"/>
          <w:lang w:val="en-AU"/>
        </w:rPr>
        <w:t>(that is, the conduct charged here) could</w:t>
      </w:r>
      <w:r w:rsidR="004F5972">
        <w:rPr>
          <w:rFonts w:ascii="Calibri" w:eastAsia="Times" w:hAnsi="Calibri" w:cs="Calibri"/>
          <w:bCs/>
          <w:sz w:val="24"/>
          <w:szCs w:val="24"/>
          <w:lang w:val="en-AU"/>
        </w:rPr>
        <w:t xml:space="preserve"> be considered</w:t>
      </w:r>
      <w:r w:rsidR="0024766C">
        <w:rPr>
          <w:rFonts w:ascii="Calibri" w:eastAsia="Times" w:hAnsi="Calibri" w:cs="Calibri"/>
          <w:bCs/>
          <w:sz w:val="24"/>
          <w:szCs w:val="24"/>
          <w:lang w:val="en-AU"/>
        </w:rPr>
        <w:t xml:space="preserve"> by the Tribunal</w:t>
      </w:r>
      <w:r w:rsidR="00E10875">
        <w:rPr>
          <w:rFonts w:ascii="Calibri" w:eastAsia="Times" w:hAnsi="Calibri" w:cs="Calibri"/>
          <w:bCs/>
          <w:sz w:val="24"/>
          <w:szCs w:val="24"/>
          <w:lang w:val="en-AU"/>
        </w:rPr>
        <w:t>, in the Tribunal’s view</w:t>
      </w:r>
      <w:r w:rsidR="0024766C">
        <w:rPr>
          <w:rFonts w:ascii="Calibri" w:eastAsia="Times" w:hAnsi="Calibri" w:cs="Calibri"/>
          <w:bCs/>
          <w:sz w:val="24"/>
          <w:szCs w:val="24"/>
          <w:lang w:val="en-AU"/>
        </w:rPr>
        <w:t>.</w:t>
      </w:r>
    </w:p>
    <w:p w14:paraId="66CF902B" w14:textId="7CABA7BF" w:rsidR="00B81A2C" w:rsidRDefault="00C919D6" w:rsidP="00B81A2C">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w:t>
      </w:r>
      <w:r w:rsidR="00ED762A">
        <w:rPr>
          <w:rFonts w:ascii="Calibri" w:eastAsia="Times" w:hAnsi="Calibri" w:cs="Calibri"/>
          <w:bCs/>
          <w:sz w:val="24"/>
          <w:szCs w:val="24"/>
          <w:lang w:val="en-AU"/>
        </w:rPr>
        <w:t>he sections of the SWR Act that</w:t>
      </w:r>
      <w:r w:rsidR="00712BF1">
        <w:rPr>
          <w:rFonts w:ascii="Calibri" w:eastAsia="Times" w:hAnsi="Calibri" w:cs="Calibri"/>
          <w:bCs/>
          <w:sz w:val="24"/>
          <w:szCs w:val="24"/>
          <w:lang w:val="en-AU"/>
        </w:rPr>
        <w:t xml:space="preserve"> specifically</w:t>
      </w:r>
      <w:r w:rsidR="00ED762A">
        <w:rPr>
          <w:rFonts w:ascii="Calibri" w:eastAsia="Times" w:hAnsi="Calibri" w:cs="Calibri"/>
          <w:bCs/>
          <w:sz w:val="24"/>
          <w:szCs w:val="24"/>
          <w:lang w:val="en-AU"/>
        </w:rPr>
        <w:t xml:space="preserve"> provide for consideration of pre-registration conduct</w:t>
      </w:r>
      <w:r w:rsidR="005913BE">
        <w:rPr>
          <w:rFonts w:ascii="Calibri" w:eastAsia="Times" w:hAnsi="Calibri" w:cs="Calibri"/>
          <w:bCs/>
          <w:sz w:val="24"/>
          <w:szCs w:val="24"/>
          <w:lang w:val="en-AU"/>
        </w:rPr>
        <w:t xml:space="preserve"> are also relevant to an understanding of the statutory scheme and </w:t>
      </w:r>
      <w:r w:rsidR="00712BF1">
        <w:rPr>
          <w:rFonts w:ascii="Calibri" w:eastAsia="Times" w:hAnsi="Calibri" w:cs="Calibri"/>
          <w:bCs/>
          <w:sz w:val="24"/>
          <w:szCs w:val="24"/>
          <w:lang w:val="en-AU"/>
        </w:rPr>
        <w:lastRenderedPageBreak/>
        <w:t>aid in interpreting the Tribunal’s jurisdiction</w:t>
      </w:r>
      <w:r w:rsidR="00560B18">
        <w:rPr>
          <w:rFonts w:ascii="Calibri" w:eastAsia="Times" w:hAnsi="Calibri" w:cs="Calibri"/>
          <w:bCs/>
          <w:sz w:val="24"/>
          <w:szCs w:val="24"/>
          <w:lang w:val="en-AU"/>
        </w:rPr>
        <w:t xml:space="preserve"> to make findings</w:t>
      </w:r>
      <w:r w:rsidR="00D10C50">
        <w:rPr>
          <w:rFonts w:ascii="Calibri" w:eastAsia="Times" w:hAnsi="Calibri" w:cs="Calibri"/>
          <w:bCs/>
          <w:sz w:val="24"/>
          <w:szCs w:val="24"/>
          <w:lang w:val="en-AU"/>
        </w:rPr>
        <w:t xml:space="preserve"> under section </w:t>
      </w:r>
      <w:r w:rsidR="00560B18">
        <w:rPr>
          <w:rFonts w:ascii="Calibri" w:eastAsia="Times" w:hAnsi="Calibri" w:cs="Calibri"/>
          <w:bCs/>
          <w:sz w:val="24"/>
          <w:szCs w:val="24"/>
          <w:lang w:val="en-AU"/>
        </w:rPr>
        <w:t>82</w:t>
      </w:r>
      <w:r w:rsidR="00712BF1">
        <w:rPr>
          <w:rFonts w:ascii="Calibri" w:eastAsia="Times" w:hAnsi="Calibri" w:cs="Calibri"/>
          <w:bCs/>
          <w:sz w:val="24"/>
          <w:szCs w:val="24"/>
          <w:lang w:val="en-AU"/>
        </w:rPr>
        <w:t>. Those section</w:t>
      </w:r>
      <w:r w:rsidR="00560B18">
        <w:rPr>
          <w:rFonts w:ascii="Calibri" w:eastAsia="Times" w:hAnsi="Calibri" w:cs="Calibri"/>
          <w:bCs/>
          <w:sz w:val="24"/>
          <w:szCs w:val="24"/>
          <w:lang w:val="en-AU"/>
        </w:rPr>
        <w:t>s</w:t>
      </w:r>
      <w:r w:rsidR="00ED762A">
        <w:rPr>
          <w:rFonts w:ascii="Calibri" w:eastAsia="Times" w:hAnsi="Calibri" w:cs="Calibri"/>
          <w:bCs/>
          <w:sz w:val="24"/>
          <w:szCs w:val="24"/>
          <w:lang w:val="en-AU"/>
        </w:rPr>
        <w:t xml:space="preserve"> </w:t>
      </w:r>
      <w:r w:rsidR="005E22B1">
        <w:rPr>
          <w:rFonts w:ascii="Calibri" w:eastAsia="Times" w:hAnsi="Calibri" w:cs="Calibri"/>
          <w:bCs/>
          <w:sz w:val="24"/>
          <w:szCs w:val="24"/>
          <w:lang w:val="en-AU"/>
        </w:rPr>
        <w:t>provide for the consideration of pre-registration conduct</w:t>
      </w:r>
      <w:r w:rsidR="00ED762A">
        <w:rPr>
          <w:rFonts w:ascii="Calibri" w:eastAsia="Times" w:hAnsi="Calibri" w:cs="Calibri"/>
          <w:bCs/>
          <w:sz w:val="24"/>
          <w:szCs w:val="24"/>
          <w:lang w:val="en-AU"/>
        </w:rPr>
        <w:t xml:space="preserve"> in the context of the Board’s assessment of a person’s competence to practise social work under Part 3</w:t>
      </w:r>
      <w:r w:rsidR="007C5373">
        <w:rPr>
          <w:rFonts w:ascii="Calibri" w:eastAsia="Times" w:hAnsi="Calibri" w:cs="Calibri"/>
          <w:bCs/>
          <w:sz w:val="24"/>
          <w:szCs w:val="24"/>
          <w:lang w:val="en-AU"/>
        </w:rPr>
        <w:t xml:space="preserve"> (Competence and fitness)</w:t>
      </w:r>
      <w:r w:rsidR="00ED762A">
        <w:rPr>
          <w:rFonts w:ascii="Calibri" w:eastAsia="Times" w:hAnsi="Calibri" w:cs="Calibri"/>
          <w:bCs/>
          <w:sz w:val="24"/>
          <w:szCs w:val="24"/>
          <w:lang w:val="en-AU"/>
        </w:rPr>
        <w:t>, and of whether a person is fit and proper to practise social work</w:t>
      </w:r>
      <w:r w:rsidR="001A77A0">
        <w:rPr>
          <w:rFonts w:ascii="Calibri" w:eastAsia="Times" w:hAnsi="Calibri" w:cs="Calibri"/>
          <w:bCs/>
          <w:sz w:val="24"/>
          <w:szCs w:val="24"/>
          <w:lang w:val="en-AU"/>
        </w:rPr>
        <w:t xml:space="preserve"> to be eligible for registration </w:t>
      </w:r>
      <w:r w:rsidR="00ED762A">
        <w:rPr>
          <w:rFonts w:ascii="Calibri" w:eastAsia="Times" w:hAnsi="Calibri" w:cs="Calibri"/>
          <w:bCs/>
          <w:sz w:val="24"/>
          <w:szCs w:val="24"/>
          <w:lang w:val="en-AU"/>
        </w:rPr>
        <w:t>(see Part 2 Registration and practising certificates)</w:t>
      </w:r>
      <w:r w:rsidR="00C95327">
        <w:rPr>
          <w:rStyle w:val="FootnoteReference"/>
          <w:rFonts w:ascii="Calibri" w:eastAsia="Times" w:hAnsi="Calibri" w:cs="Calibri"/>
          <w:bCs/>
          <w:sz w:val="24"/>
          <w:szCs w:val="24"/>
          <w:lang w:val="en-AU"/>
        </w:rPr>
        <w:footnoteReference w:id="27"/>
      </w:r>
      <w:r w:rsidR="00ED762A">
        <w:rPr>
          <w:rFonts w:ascii="Calibri" w:eastAsia="Times" w:hAnsi="Calibri" w:cs="Calibri"/>
          <w:bCs/>
          <w:sz w:val="24"/>
          <w:szCs w:val="24"/>
          <w:lang w:val="en-AU"/>
        </w:rPr>
        <w:t>.</w:t>
      </w:r>
      <w:r w:rsidR="00AA3E88">
        <w:rPr>
          <w:rFonts w:ascii="Calibri" w:eastAsia="Times" w:hAnsi="Calibri" w:cs="Calibri"/>
          <w:bCs/>
          <w:sz w:val="24"/>
          <w:szCs w:val="24"/>
          <w:lang w:val="en-AU"/>
        </w:rPr>
        <w:t xml:space="preserve"> As </w:t>
      </w:r>
      <w:r w:rsidR="00560B18">
        <w:rPr>
          <w:rFonts w:ascii="Calibri" w:eastAsia="Times" w:hAnsi="Calibri" w:cs="Calibri"/>
          <w:bCs/>
          <w:sz w:val="24"/>
          <w:szCs w:val="24"/>
          <w:lang w:val="en-AU"/>
        </w:rPr>
        <w:t>was submitted for the</w:t>
      </w:r>
      <w:r w:rsidR="00AA3E88">
        <w:rPr>
          <w:rFonts w:ascii="Calibri" w:eastAsia="Times" w:hAnsi="Calibri" w:cs="Calibri"/>
          <w:bCs/>
          <w:sz w:val="24"/>
          <w:szCs w:val="24"/>
          <w:lang w:val="en-AU"/>
        </w:rPr>
        <w:t xml:space="preserve"> PCC</w:t>
      </w:r>
      <w:r w:rsidR="00B267F0">
        <w:rPr>
          <w:rFonts w:ascii="Calibri" w:eastAsia="Times" w:hAnsi="Calibri" w:cs="Calibri"/>
          <w:bCs/>
          <w:sz w:val="24"/>
          <w:szCs w:val="24"/>
          <w:lang w:val="en-AU"/>
        </w:rPr>
        <w:t>,</w:t>
      </w:r>
      <w:r w:rsidR="00AA3E88">
        <w:rPr>
          <w:rFonts w:ascii="Calibri" w:eastAsia="Times" w:hAnsi="Calibri" w:cs="Calibri"/>
          <w:bCs/>
          <w:sz w:val="24"/>
          <w:szCs w:val="24"/>
          <w:lang w:val="en-AU"/>
        </w:rPr>
        <w:t xml:space="preserve"> the conduct alleged in the charge here</w:t>
      </w:r>
      <w:r w:rsidR="000D1243">
        <w:rPr>
          <w:rFonts w:ascii="Calibri" w:eastAsia="Times" w:hAnsi="Calibri" w:cs="Calibri"/>
          <w:bCs/>
          <w:sz w:val="24"/>
          <w:szCs w:val="24"/>
          <w:lang w:val="en-AU"/>
        </w:rPr>
        <w:t>, if established</w:t>
      </w:r>
      <w:r w:rsidR="00F61BDF">
        <w:rPr>
          <w:rStyle w:val="FootnoteReference"/>
          <w:rFonts w:ascii="Calibri" w:eastAsia="Times" w:hAnsi="Calibri" w:cs="Calibri"/>
          <w:bCs/>
          <w:sz w:val="24"/>
          <w:szCs w:val="24"/>
          <w:lang w:val="en-AU"/>
        </w:rPr>
        <w:footnoteReference w:id="28"/>
      </w:r>
      <w:r w:rsidR="000D1243">
        <w:rPr>
          <w:rFonts w:ascii="Calibri" w:eastAsia="Times" w:hAnsi="Calibri" w:cs="Calibri"/>
          <w:bCs/>
          <w:sz w:val="24"/>
          <w:szCs w:val="24"/>
          <w:lang w:val="en-AU"/>
        </w:rPr>
        <w:t xml:space="preserve">, would have a bearing on the assessment of the practitioner’s fitness to practise social work. </w:t>
      </w:r>
      <w:r w:rsidR="000B1D29">
        <w:rPr>
          <w:rFonts w:ascii="Calibri" w:eastAsia="Times" w:hAnsi="Calibri" w:cs="Calibri"/>
          <w:bCs/>
          <w:sz w:val="24"/>
          <w:szCs w:val="24"/>
          <w:lang w:val="en-AU"/>
        </w:rPr>
        <w:t>The conduct is serious and involves allegations of dishonesty.</w:t>
      </w:r>
      <w:r w:rsidR="00022350">
        <w:rPr>
          <w:rFonts w:ascii="Calibri" w:eastAsia="Times" w:hAnsi="Calibri" w:cs="Calibri"/>
          <w:bCs/>
          <w:sz w:val="24"/>
          <w:szCs w:val="24"/>
          <w:lang w:val="en-AU"/>
        </w:rPr>
        <w:t xml:space="preserve"> </w:t>
      </w:r>
      <w:r w:rsidR="00612F0D">
        <w:rPr>
          <w:rFonts w:ascii="Calibri" w:eastAsia="Times" w:hAnsi="Calibri" w:cs="Calibri"/>
          <w:bCs/>
          <w:sz w:val="24"/>
          <w:szCs w:val="24"/>
          <w:lang w:val="en-AU"/>
        </w:rPr>
        <w:t>For the reasons already given, t</w:t>
      </w:r>
      <w:r w:rsidR="002D250D">
        <w:rPr>
          <w:rFonts w:ascii="Calibri" w:eastAsia="Times" w:hAnsi="Calibri" w:cs="Calibri"/>
          <w:bCs/>
          <w:sz w:val="24"/>
          <w:szCs w:val="24"/>
          <w:lang w:val="en-AU"/>
        </w:rPr>
        <w:t>he</w:t>
      </w:r>
      <w:r w:rsidR="00022350">
        <w:rPr>
          <w:rFonts w:ascii="Calibri" w:eastAsia="Times" w:hAnsi="Calibri" w:cs="Calibri"/>
          <w:bCs/>
          <w:sz w:val="24"/>
          <w:szCs w:val="24"/>
          <w:lang w:val="en-AU"/>
        </w:rPr>
        <w:t xml:space="preserve"> Tribunal does not accept</w:t>
      </w:r>
      <w:r w:rsidR="00550562">
        <w:rPr>
          <w:rFonts w:ascii="Calibri" w:eastAsia="Times" w:hAnsi="Calibri" w:cs="Calibri"/>
          <w:bCs/>
          <w:sz w:val="24"/>
          <w:szCs w:val="24"/>
          <w:lang w:val="en-AU"/>
        </w:rPr>
        <w:t xml:space="preserve"> </w:t>
      </w:r>
      <w:r w:rsidR="00022350">
        <w:rPr>
          <w:rFonts w:ascii="Calibri" w:eastAsia="Times" w:hAnsi="Calibri" w:cs="Calibri"/>
          <w:bCs/>
          <w:sz w:val="24"/>
          <w:szCs w:val="24"/>
          <w:lang w:val="en-AU"/>
        </w:rPr>
        <w:t>that</w:t>
      </w:r>
      <w:r w:rsidR="000D1243">
        <w:rPr>
          <w:rFonts w:ascii="Calibri" w:eastAsia="Times" w:hAnsi="Calibri" w:cs="Calibri"/>
          <w:bCs/>
          <w:sz w:val="24"/>
          <w:szCs w:val="24"/>
          <w:lang w:val="en-AU"/>
        </w:rPr>
        <w:t xml:space="preserve"> confer</w:t>
      </w:r>
      <w:r w:rsidR="002D250D">
        <w:rPr>
          <w:rFonts w:ascii="Calibri" w:eastAsia="Times" w:hAnsi="Calibri" w:cs="Calibri"/>
          <w:bCs/>
          <w:sz w:val="24"/>
          <w:szCs w:val="24"/>
          <w:lang w:val="en-AU"/>
        </w:rPr>
        <w:t>s</w:t>
      </w:r>
      <w:r w:rsidR="000D1243">
        <w:rPr>
          <w:rFonts w:ascii="Calibri" w:eastAsia="Times" w:hAnsi="Calibri" w:cs="Calibri"/>
          <w:bCs/>
          <w:sz w:val="24"/>
          <w:szCs w:val="24"/>
          <w:lang w:val="en-AU"/>
        </w:rPr>
        <w:t xml:space="preserve"> jurisdiction on the Tribunal to exercise disciplinary powers in respect of </w:t>
      </w:r>
      <w:r w:rsidR="00C21931">
        <w:rPr>
          <w:rFonts w:ascii="Calibri" w:eastAsia="Times" w:hAnsi="Calibri" w:cs="Calibri"/>
          <w:bCs/>
          <w:sz w:val="24"/>
          <w:szCs w:val="24"/>
          <w:lang w:val="en-AU"/>
        </w:rPr>
        <w:t>the practitioner</w:t>
      </w:r>
      <w:r w:rsidR="00F20449">
        <w:rPr>
          <w:rFonts w:ascii="Calibri" w:eastAsia="Times" w:hAnsi="Calibri" w:cs="Calibri"/>
          <w:bCs/>
          <w:sz w:val="24"/>
          <w:szCs w:val="24"/>
          <w:lang w:val="en-AU"/>
        </w:rPr>
        <w:t xml:space="preserve"> in relation to that conduct</w:t>
      </w:r>
      <w:r w:rsidR="00612F0D">
        <w:rPr>
          <w:rFonts w:ascii="Calibri" w:eastAsia="Times" w:hAnsi="Calibri" w:cs="Calibri"/>
          <w:bCs/>
          <w:sz w:val="24"/>
          <w:szCs w:val="24"/>
          <w:lang w:val="en-AU"/>
        </w:rPr>
        <w:t xml:space="preserve"> under section 82(1)(a) or (b)</w:t>
      </w:r>
      <w:r w:rsidR="00C21931">
        <w:rPr>
          <w:rFonts w:ascii="Calibri" w:eastAsia="Times" w:hAnsi="Calibri" w:cs="Calibri"/>
          <w:bCs/>
          <w:sz w:val="24"/>
          <w:szCs w:val="24"/>
          <w:lang w:val="en-AU"/>
        </w:rPr>
        <w:t xml:space="preserve">. </w:t>
      </w:r>
      <w:r w:rsidR="008E10D2">
        <w:rPr>
          <w:rFonts w:ascii="Calibri" w:eastAsia="Times" w:hAnsi="Calibri" w:cs="Calibri"/>
          <w:bCs/>
          <w:sz w:val="24"/>
          <w:szCs w:val="24"/>
          <w:lang w:val="en-AU"/>
        </w:rPr>
        <w:t>However, such</w:t>
      </w:r>
      <w:r w:rsidR="00B81A2C">
        <w:rPr>
          <w:rFonts w:ascii="Calibri" w:eastAsia="Times" w:hAnsi="Calibri" w:cs="Calibri"/>
          <w:bCs/>
          <w:sz w:val="24"/>
          <w:szCs w:val="24"/>
          <w:lang w:val="en-AU"/>
        </w:rPr>
        <w:t xml:space="preserve"> conduct</w:t>
      </w:r>
      <w:r w:rsidR="00612F0D">
        <w:rPr>
          <w:rFonts w:ascii="Calibri" w:eastAsia="Times" w:hAnsi="Calibri" w:cs="Calibri"/>
          <w:bCs/>
          <w:sz w:val="24"/>
          <w:szCs w:val="24"/>
          <w:lang w:val="en-AU"/>
        </w:rPr>
        <w:t xml:space="preserve"> </w:t>
      </w:r>
      <w:r w:rsidR="00C21931" w:rsidRPr="00F20449">
        <w:rPr>
          <w:rFonts w:ascii="Calibri" w:eastAsia="Times" w:hAnsi="Calibri" w:cs="Calibri"/>
          <w:bCs/>
          <w:sz w:val="24"/>
          <w:szCs w:val="24"/>
          <w:lang w:val="en-AU"/>
        </w:rPr>
        <w:t>would enable the Board to act</w:t>
      </w:r>
      <w:r w:rsidR="002D250D">
        <w:rPr>
          <w:rFonts w:ascii="Calibri" w:eastAsia="Times" w:hAnsi="Calibri" w:cs="Calibri"/>
          <w:bCs/>
          <w:sz w:val="24"/>
          <w:szCs w:val="24"/>
          <w:lang w:val="en-AU"/>
        </w:rPr>
        <w:t>,</w:t>
      </w:r>
      <w:r w:rsidR="00C21931" w:rsidRPr="00F20449">
        <w:rPr>
          <w:rFonts w:ascii="Calibri" w:eastAsia="Times" w:hAnsi="Calibri" w:cs="Calibri"/>
          <w:bCs/>
          <w:sz w:val="24"/>
          <w:szCs w:val="24"/>
          <w:lang w:val="en-AU"/>
        </w:rPr>
        <w:t xml:space="preserve"> as fitness</w:t>
      </w:r>
      <w:r w:rsidR="000474E4">
        <w:rPr>
          <w:rFonts w:ascii="Calibri" w:eastAsia="Times" w:hAnsi="Calibri" w:cs="Calibri"/>
          <w:bCs/>
          <w:sz w:val="24"/>
          <w:szCs w:val="24"/>
          <w:lang w:val="en-AU"/>
        </w:rPr>
        <w:t xml:space="preserve"> and propriety</w:t>
      </w:r>
      <w:r w:rsidR="00C21931" w:rsidRPr="00F20449">
        <w:rPr>
          <w:rFonts w:ascii="Calibri" w:eastAsia="Times" w:hAnsi="Calibri" w:cs="Calibri"/>
          <w:bCs/>
          <w:sz w:val="24"/>
          <w:szCs w:val="24"/>
          <w:lang w:val="en-AU"/>
        </w:rPr>
        <w:t xml:space="preserve"> to practise is </w:t>
      </w:r>
      <w:r w:rsidR="00F657D4">
        <w:rPr>
          <w:rFonts w:ascii="Calibri" w:eastAsia="Times" w:hAnsi="Calibri" w:cs="Calibri"/>
          <w:bCs/>
          <w:sz w:val="24"/>
          <w:szCs w:val="24"/>
          <w:lang w:val="en-AU"/>
        </w:rPr>
        <w:t>one of the criteria for</w:t>
      </w:r>
      <w:r w:rsidR="00C21931" w:rsidRPr="00F20449">
        <w:rPr>
          <w:rFonts w:ascii="Calibri" w:eastAsia="Times" w:hAnsi="Calibri" w:cs="Calibri"/>
          <w:bCs/>
          <w:sz w:val="24"/>
          <w:szCs w:val="24"/>
          <w:lang w:val="en-AU"/>
        </w:rPr>
        <w:t xml:space="preserve"> </w:t>
      </w:r>
      <w:r w:rsidR="00B267F0" w:rsidRPr="00F20449">
        <w:rPr>
          <w:rFonts w:ascii="Calibri" w:eastAsia="Times" w:hAnsi="Calibri" w:cs="Calibri"/>
          <w:bCs/>
          <w:sz w:val="24"/>
          <w:szCs w:val="24"/>
          <w:lang w:val="en-AU"/>
        </w:rPr>
        <w:t>registration</w:t>
      </w:r>
      <w:r w:rsidR="00031E95">
        <w:rPr>
          <w:rFonts w:ascii="Calibri" w:eastAsia="Times" w:hAnsi="Calibri" w:cs="Calibri"/>
          <w:bCs/>
          <w:sz w:val="24"/>
          <w:szCs w:val="24"/>
          <w:lang w:val="en-AU"/>
        </w:rPr>
        <w:t xml:space="preserve"> and </w:t>
      </w:r>
      <w:r w:rsidR="00F657D4">
        <w:rPr>
          <w:rFonts w:ascii="Calibri" w:eastAsia="Times" w:hAnsi="Calibri" w:cs="Calibri"/>
          <w:bCs/>
          <w:sz w:val="24"/>
          <w:szCs w:val="24"/>
          <w:lang w:val="en-AU"/>
        </w:rPr>
        <w:t>for</w:t>
      </w:r>
      <w:r w:rsidR="000474E4">
        <w:rPr>
          <w:rFonts w:ascii="Calibri" w:eastAsia="Times" w:hAnsi="Calibri" w:cs="Calibri"/>
          <w:bCs/>
          <w:sz w:val="24"/>
          <w:szCs w:val="24"/>
          <w:lang w:val="en-AU"/>
        </w:rPr>
        <w:t xml:space="preserve"> </w:t>
      </w:r>
      <w:r w:rsidR="00190841">
        <w:rPr>
          <w:rFonts w:ascii="Calibri" w:eastAsia="Times" w:hAnsi="Calibri" w:cs="Calibri"/>
          <w:bCs/>
          <w:sz w:val="24"/>
          <w:szCs w:val="24"/>
          <w:lang w:val="en-AU"/>
        </w:rPr>
        <w:t xml:space="preserve">the issue </w:t>
      </w:r>
      <w:r w:rsidR="00221868">
        <w:rPr>
          <w:rFonts w:ascii="Calibri" w:eastAsia="Times" w:hAnsi="Calibri" w:cs="Calibri"/>
          <w:bCs/>
          <w:sz w:val="24"/>
          <w:szCs w:val="24"/>
          <w:lang w:val="en-AU"/>
        </w:rPr>
        <w:t xml:space="preserve">and renewal </w:t>
      </w:r>
      <w:r w:rsidR="00190841">
        <w:rPr>
          <w:rFonts w:ascii="Calibri" w:eastAsia="Times" w:hAnsi="Calibri" w:cs="Calibri"/>
          <w:bCs/>
          <w:sz w:val="24"/>
          <w:szCs w:val="24"/>
          <w:lang w:val="en-AU"/>
        </w:rPr>
        <w:t xml:space="preserve">of a practising certificate </w:t>
      </w:r>
      <w:r w:rsidR="002B3E28">
        <w:rPr>
          <w:rFonts w:ascii="Calibri" w:eastAsia="Times" w:hAnsi="Calibri" w:cs="Calibri"/>
          <w:bCs/>
          <w:sz w:val="24"/>
          <w:szCs w:val="24"/>
          <w:lang w:val="en-AU"/>
        </w:rPr>
        <w:t>and therefore is</w:t>
      </w:r>
      <w:r w:rsidR="00C21931" w:rsidRPr="00F20449">
        <w:rPr>
          <w:rFonts w:ascii="Calibri" w:eastAsia="Times" w:hAnsi="Calibri" w:cs="Calibri"/>
          <w:bCs/>
          <w:sz w:val="24"/>
          <w:szCs w:val="24"/>
          <w:lang w:val="en-AU"/>
        </w:rPr>
        <w:t xml:space="preserve"> </w:t>
      </w:r>
      <w:r w:rsidR="00A256B7">
        <w:rPr>
          <w:rFonts w:ascii="Calibri" w:eastAsia="Times" w:hAnsi="Calibri" w:cs="Calibri"/>
          <w:bCs/>
          <w:sz w:val="24"/>
          <w:szCs w:val="24"/>
          <w:lang w:val="en-AU"/>
        </w:rPr>
        <w:t xml:space="preserve">a </w:t>
      </w:r>
      <w:r w:rsidR="00C21931" w:rsidRPr="00F20449">
        <w:rPr>
          <w:rFonts w:ascii="Calibri" w:eastAsia="Times" w:hAnsi="Calibri" w:cs="Calibri"/>
          <w:bCs/>
          <w:sz w:val="24"/>
          <w:szCs w:val="24"/>
          <w:lang w:val="en-AU"/>
        </w:rPr>
        <w:t>matter</w:t>
      </w:r>
      <w:r w:rsidR="00B267F0" w:rsidRPr="00F20449">
        <w:rPr>
          <w:rFonts w:ascii="Calibri" w:eastAsia="Times" w:hAnsi="Calibri" w:cs="Calibri"/>
          <w:bCs/>
          <w:sz w:val="24"/>
          <w:szCs w:val="24"/>
          <w:lang w:val="en-AU"/>
        </w:rPr>
        <w:t xml:space="preserve"> that falls squarely</w:t>
      </w:r>
      <w:r w:rsidR="00C21931" w:rsidRPr="00F20449">
        <w:rPr>
          <w:rFonts w:ascii="Calibri" w:eastAsia="Times" w:hAnsi="Calibri" w:cs="Calibri"/>
          <w:bCs/>
          <w:sz w:val="24"/>
          <w:szCs w:val="24"/>
          <w:lang w:val="en-AU"/>
        </w:rPr>
        <w:t xml:space="preserve"> within the Board’s functions and powers</w:t>
      </w:r>
      <w:r w:rsidR="00046512" w:rsidRPr="00F20449">
        <w:rPr>
          <w:rFonts w:ascii="Calibri" w:eastAsia="Times" w:hAnsi="Calibri" w:cs="Calibri"/>
          <w:bCs/>
          <w:sz w:val="24"/>
          <w:szCs w:val="24"/>
          <w:lang w:val="en-AU"/>
        </w:rPr>
        <w:t xml:space="preserve"> as the regulator of</w:t>
      </w:r>
      <w:r w:rsidR="0018127D">
        <w:rPr>
          <w:rFonts w:ascii="Calibri" w:eastAsia="Times" w:hAnsi="Calibri" w:cs="Calibri"/>
          <w:bCs/>
          <w:sz w:val="24"/>
          <w:szCs w:val="24"/>
          <w:lang w:val="en-AU"/>
        </w:rPr>
        <w:t xml:space="preserve"> (registered)</w:t>
      </w:r>
      <w:r w:rsidR="00046512" w:rsidRPr="00F20449">
        <w:rPr>
          <w:rFonts w:ascii="Calibri" w:eastAsia="Times" w:hAnsi="Calibri" w:cs="Calibri"/>
          <w:bCs/>
          <w:sz w:val="24"/>
          <w:szCs w:val="24"/>
          <w:lang w:val="en-AU"/>
        </w:rPr>
        <w:t xml:space="preserve"> social workers.</w:t>
      </w:r>
      <w:r w:rsidR="007A4CC8" w:rsidRPr="00F20449">
        <w:rPr>
          <w:rFonts w:ascii="Calibri" w:eastAsia="Times" w:hAnsi="Calibri" w:cs="Calibri"/>
          <w:bCs/>
          <w:sz w:val="24"/>
          <w:szCs w:val="24"/>
          <w:lang w:val="en-AU"/>
        </w:rPr>
        <w:t xml:space="preserve"> </w:t>
      </w:r>
      <w:r w:rsidR="00B81A2C" w:rsidRPr="00F20449">
        <w:rPr>
          <w:rFonts w:ascii="Calibri" w:eastAsia="Times" w:hAnsi="Calibri" w:cs="Calibri"/>
          <w:bCs/>
          <w:sz w:val="24"/>
          <w:szCs w:val="24"/>
          <w:lang w:val="en-AU"/>
        </w:rPr>
        <w:t>Section 48 of the Act provides that the fitness and propriety of a person to practise social work may be considered by the Board after a person has applied for registration (or a practising certificate) or after a mandatory report from an employer or after the referral of a complaint (or a notice of conviction) to a professional conduct committee.</w:t>
      </w:r>
      <w:r w:rsidR="00B81A2C">
        <w:rPr>
          <w:rFonts w:ascii="Calibri" w:eastAsia="Times" w:hAnsi="Calibri" w:cs="Calibri"/>
          <w:bCs/>
          <w:sz w:val="24"/>
          <w:szCs w:val="24"/>
          <w:lang w:val="en-AU"/>
        </w:rPr>
        <w:t xml:space="preserve"> </w:t>
      </w:r>
    </w:p>
    <w:p w14:paraId="2B831D35" w14:textId="206E2E66" w:rsidR="00A904DC" w:rsidRDefault="00802D2A" w:rsidP="00057CF3">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As </w:t>
      </w:r>
      <w:r w:rsidR="00A07F4B">
        <w:rPr>
          <w:rFonts w:ascii="Calibri" w:eastAsia="Times" w:hAnsi="Calibri" w:cs="Calibri"/>
          <w:bCs/>
          <w:sz w:val="24"/>
          <w:szCs w:val="24"/>
          <w:lang w:val="en-AU"/>
        </w:rPr>
        <w:t>Counsel for the PCC identifie</w:t>
      </w:r>
      <w:r w:rsidR="0053747A">
        <w:rPr>
          <w:rFonts w:ascii="Calibri" w:eastAsia="Times" w:hAnsi="Calibri" w:cs="Calibri"/>
          <w:bCs/>
          <w:sz w:val="24"/>
          <w:szCs w:val="24"/>
          <w:lang w:val="en-AU"/>
        </w:rPr>
        <w:t>d in the written submissions</w:t>
      </w:r>
      <w:r>
        <w:rPr>
          <w:rFonts w:ascii="Calibri" w:eastAsia="Times" w:hAnsi="Calibri" w:cs="Calibri"/>
          <w:bCs/>
          <w:sz w:val="24"/>
          <w:szCs w:val="24"/>
          <w:lang w:val="en-AU"/>
        </w:rPr>
        <w:t>,</w:t>
      </w:r>
      <w:r w:rsidR="007A4CC8" w:rsidRPr="00F20449">
        <w:rPr>
          <w:rFonts w:ascii="Calibri" w:eastAsia="Times" w:hAnsi="Calibri" w:cs="Calibri"/>
          <w:bCs/>
          <w:sz w:val="24"/>
          <w:szCs w:val="24"/>
          <w:lang w:val="en-AU"/>
        </w:rPr>
        <w:t xml:space="preserve"> the </w:t>
      </w:r>
      <w:r w:rsidR="00BF7B47" w:rsidRPr="00F20449">
        <w:rPr>
          <w:rFonts w:ascii="Calibri" w:eastAsia="Times" w:hAnsi="Calibri" w:cs="Calibri"/>
          <w:bCs/>
          <w:sz w:val="24"/>
          <w:szCs w:val="24"/>
          <w:lang w:val="en-AU"/>
        </w:rPr>
        <w:t>Board may take steps to cancel a social worker’s registration after he or she has</w:t>
      </w:r>
      <w:r w:rsidR="00F52B88">
        <w:rPr>
          <w:rFonts w:ascii="Calibri" w:eastAsia="Times" w:hAnsi="Calibri" w:cs="Calibri"/>
          <w:bCs/>
          <w:sz w:val="24"/>
          <w:szCs w:val="24"/>
          <w:lang w:val="en-AU"/>
        </w:rPr>
        <w:t xml:space="preserve"> or they have</w:t>
      </w:r>
      <w:r w:rsidR="00BF7B47" w:rsidRPr="00F20449">
        <w:rPr>
          <w:rFonts w:ascii="Calibri" w:eastAsia="Times" w:hAnsi="Calibri" w:cs="Calibri"/>
          <w:bCs/>
          <w:sz w:val="24"/>
          <w:szCs w:val="24"/>
          <w:lang w:val="en-AU"/>
        </w:rPr>
        <w:t xml:space="preserve"> been registered</w:t>
      </w:r>
      <w:r w:rsidR="00B9319A">
        <w:rPr>
          <w:rStyle w:val="FootnoteReference"/>
          <w:rFonts w:ascii="Calibri" w:eastAsia="Times" w:hAnsi="Calibri" w:cs="Calibri"/>
          <w:bCs/>
          <w:sz w:val="24"/>
          <w:szCs w:val="24"/>
          <w:lang w:val="en-AU"/>
        </w:rPr>
        <w:footnoteReference w:id="29"/>
      </w:r>
      <w:r w:rsidR="00B9319A" w:rsidRPr="00F20449">
        <w:rPr>
          <w:rFonts w:ascii="Calibri" w:eastAsia="Times" w:hAnsi="Calibri" w:cs="Calibri"/>
          <w:bCs/>
          <w:sz w:val="24"/>
          <w:szCs w:val="24"/>
          <w:lang w:val="en-AU"/>
        </w:rPr>
        <w:t>. Specifically</w:t>
      </w:r>
      <w:r w:rsidR="00A77AEF" w:rsidRPr="00F20449">
        <w:rPr>
          <w:rFonts w:ascii="Calibri" w:eastAsia="Times" w:hAnsi="Calibri" w:cs="Calibri"/>
          <w:bCs/>
          <w:sz w:val="24"/>
          <w:szCs w:val="24"/>
          <w:lang w:val="en-AU"/>
        </w:rPr>
        <w:t>,</w:t>
      </w:r>
      <w:r w:rsidR="00B9319A" w:rsidRPr="00F20449">
        <w:rPr>
          <w:rFonts w:ascii="Calibri" w:eastAsia="Times" w:hAnsi="Calibri" w:cs="Calibri"/>
          <w:bCs/>
          <w:sz w:val="24"/>
          <w:szCs w:val="24"/>
          <w:lang w:val="en-AU"/>
        </w:rPr>
        <w:t xml:space="preserve"> the Board may direct cancellation if it is satisfied that the social worker either obtained registration by making a false or misleading representation or declaration, or that the social worker is not entitled to be registered</w:t>
      </w:r>
      <w:r w:rsidR="00DA1B0F" w:rsidRPr="00F20449">
        <w:rPr>
          <w:rFonts w:ascii="Calibri" w:eastAsia="Times" w:hAnsi="Calibri" w:cs="Calibri"/>
          <w:bCs/>
          <w:sz w:val="24"/>
          <w:szCs w:val="24"/>
          <w:lang w:val="en-AU"/>
        </w:rPr>
        <w:t>.</w:t>
      </w:r>
      <w:r w:rsidR="00DA1B0F">
        <w:rPr>
          <w:rStyle w:val="FootnoteReference"/>
          <w:rFonts w:ascii="Calibri" w:eastAsia="Times" w:hAnsi="Calibri" w:cs="Calibri"/>
          <w:bCs/>
          <w:sz w:val="24"/>
          <w:szCs w:val="24"/>
          <w:lang w:val="en-AU"/>
        </w:rPr>
        <w:footnoteReference w:id="30"/>
      </w:r>
      <w:r w:rsidR="00161A2A" w:rsidRPr="00F20449">
        <w:rPr>
          <w:rFonts w:ascii="Calibri" w:eastAsia="Times" w:hAnsi="Calibri" w:cs="Calibri"/>
          <w:bCs/>
          <w:sz w:val="24"/>
          <w:szCs w:val="24"/>
          <w:lang w:val="en-AU"/>
        </w:rPr>
        <w:t xml:space="preserve"> </w:t>
      </w:r>
    </w:p>
    <w:p w14:paraId="28A2D50C" w14:textId="4D508FD1" w:rsidR="00A040BC" w:rsidRDefault="00A040BC" w:rsidP="00A040BC">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lastRenderedPageBreak/>
        <w:t xml:space="preserve">Having regard to those matters, in the Tribunal’s view, </w:t>
      </w:r>
      <w:r w:rsidR="004964B0">
        <w:rPr>
          <w:rFonts w:ascii="Calibri" w:eastAsia="Times" w:hAnsi="Calibri" w:cs="Calibri"/>
          <w:bCs/>
          <w:sz w:val="24"/>
          <w:szCs w:val="24"/>
          <w:lang w:val="en-AU"/>
        </w:rPr>
        <w:t xml:space="preserve">on </w:t>
      </w:r>
      <w:r>
        <w:rPr>
          <w:rFonts w:ascii="Calibri" w:eastAsia="Times" w:hAnsi="Calibri" w:cs="Calibri"/>
          <w:bCs/>
          <w:sz w:val="24"/>
          <w:szCs w:val="24"/>
          <w:lang w:val="en-AU"/>
        </w:rPr>
        <w:t xml:space="preserve">a proper and contextual construction of the SWR Act the Tribunal does not have jurisdiction over the actions of persons before they were registered social workers, when those actions or omissions are charged as professional misconduct or ‘conduct unbecoming’. The Tribunal’s jurisdiction is entirely statutory, and the statute is clear that it has jurisdiction in respect of allegations of the misconduct of registered social workers. As discussed, the use of broader language of the provisions addressing the Board’s assessment of an applicant </w:t>
      </w:r>
      <w:r w:rsidR="004964B0">
        <w:rPr>
          <w:rFonts w:ascii="Calibri" w:eastAsia="Times" w:hAnsi="Calibri" w:cs="Calibri"/>
          <w:bCs/>
          <w:sz w:val="24"/>
          <w:szCs w:val="24"/>
          <w:lang w:val="en-AU"/>
        </w:rPr>
        <w:t>for</w:t>
      </w:r>
      <w:r>
        <w:rPr>
          <w:rFonts w:ascii="Calibri" w:eastAsia="Times" w:hAnsi="Calibri" w:cs="Calibri"/>
          <w:bCs/>
          <w:sz w:val="24"/>
          <w:szCs w:val="24"/>
          <w:lang w:val="en-AU"/>
        </w:rPr>
        <w:t xml:space="preserve"> registration’s fitness or</w:t>
      </w:r>
      <w:r w:rsidR="00175783">
        <w:rPr>
          <w:rFonts w:ascii="Calibri" w:eastAsia="Times" w:hAnsi="Calibri" w:cs="Calibri"/>
          <w:bCs/>
          <w:sz w:val="24"/>
          <w:szCs w:val="24"/>
          <w:lang w:val="en-AU"/>
        </w:rPr>
        <w:t xml:space="preserve"> propriety </w:t>
      </w:r>
      <w:r>
        <w:rPr>
          <w:rFonts w:ascii="Calibri" w:eastAsia="Times" w:hAnsi="Calibri" w:cs="Calibri"/>
          <w:bCs/>
          <w:sz w:val="24"/>
          <w:szCs w:val="24"/>
          <w:lang w:val="en-AU"/>
        </w:rPr>
        <w:t xml:space="preserve">to be </w:t>
      </w:r>
      <w:r w:rsidR="004964B0">
        <w:rPr>
          <w:rFonts w:ascii="Calibri" w:eastAsia="Times" w:hAnsi="Calibri" w:cs="Calibri"/>
          <w:bCs/>
          <w:sz w:val="24"/>
          <w:szCs w:val="24"/>
          <w:lang w:val="en-AU"/>
        </w:rPr>
        <w:t>registered</w:t>
      </w:r>
      <w:r w:rsidR="00F37460">
        <w:rPr>
          <w:rFonts w:ascii="Calibri" w:eastAsia="Times" w:hAnsi="Calibri" w:cs="Calibri"/>
          <w:bCs/>
          <w:sz w:val="24"/>
          <w:szCs w:val="24"/>
          <w:lang w:val="en-AU"/>
        </w:rPr>
        <w:t xml:space="preserve"> and to hold a practising certificate</w:t>
      </w:r>
      <w:r>
        <w:rPr>
          <w:rFonts w:ascii="Calibri" w:eastAsia="Times" w:hAnsi="Calibri" w:cs="Calibri"/>
          <w:bCs/>
          <w:sz w:val="24"/>
          <w:szCs w:val="24"/>
          <w:lang w:val="en-AU"/>
        </w:rPr>
        <w:t xml:space="preserve">, and the offences and penalties provision in section 148 provide </w:t>
      </w:r>
      <w:r w:rsidR="004964B0">
        <w:rPr>
          <w:rFonts w:ascii="Calibri" w:eastAsia="Times" w:hAnsi="Calibri" w:cs="Calibri"/>
          <w:bCs/>
          <w:sz w:val="24"/>
          <w:szCs w:val="24"/>
          <w:lang w:val="en-AU"/>
        </w:rPr>
        <w:t xml:space="preserve">support for a finding </w:t>
      </w:r>
      <w:r w:rsidR="00D74605">
        <w:rPr>
          <w:rFonts w:ascii="Calibri" w:eastAsia="Times" w:hAnsi="Calibri" w:cs="Calibri"/>
          <w:bCs/>
          <w:sz w:val="24"/>
          <w:szCs w:val="24"/>
          <w:lang w:val="en-AU"/>
        </w:rPr>
        <w:t>that</w:t>
      </w:r>
      <w:r>
        <w:rPr>
          <w:rFonts w:ascii="Calibri" w:eastAsia="Times" w:hAnsi="Calibri" w:cs="Calibri"/>
          <w:bCs/>
          <w:sz w:val="24"/>
          <w:szCs w:val="24"/>
          <w:lang w:val="en-AU"/>
        </w:rPr>
        <w:t xml:space="preserve"> the Tribunal’s jurisdiction to make findings under section 82(1)(a) and (b) does not extend to conduct that</w:t>
      </w:r>
      <w:r w:rsidR="00AF31F5">
        <w:rPr>
          <w:rFonts w:ascii="Calibri" w:eastAsia="Times" w:hAnsi="Calibri" w:cs="Calibri"/>
          <w:bCs/>
          <w:sz w:val="24"/>
          <w:szCs w:val="24"/>
          <w:lang w:val="en-AU"/>
        </w:rPr>
        <w:t xml:space="preserve"> occurred </w:t>
      </w:r>
      <w:r w:rsidR="00B16E23">
        <w:rPr>
          <w:rFonts w:ascii="Calibri" w:eastAsia="Times" w:hAnsi="Calibri" w:cs="Calibri"/>
          <w:bCs/>
          <w:sz w:val="24"/>
          <w:szCs w:val="24"/>
          <w:lang w:val="en-AU"/>
        </w:rPr>
        <w:t xml:space="preserve">entirely and </w:t>
      </w:r>
      <w:r w:rsidR="00AF31F5">
        <w:rPr>
          <w:rFonts w:ascii="Calibri" w:eastAsia="Times" w:hAnsi="Calibri" w:cs="Calibri"/>
          <w:bCs/>
          <w:sz w:val="24"/>
          <w:szCs w:val="24"/>
          <w:lang w:val="en-AU"/>
        </w:rPr>
        <w:t>exclusively prior to registration</w:t>
      </w:r>
      <w:r>
        <w:rPr>
          <w:rFonts w:ascii="Calibri" w:eastAsia="Times" w:hAnsi="Calibri" w:cs="Calibri"/>
          <w:bCs/>
          <w:sz w:val="24"/>
          <w:szCs w:val="24"/>
          <w:lang w:val="en-AU"/>
        </w:rPr>
        <w:t xml:space="preserve"> </w:t>
      </w:r>
      <w:r w:rsidR="00B16E23">
        <w:rPr>
          <w:rFonts w:ascii="Calibri" w:eastAsia="Times" w:hAnsi="Calibri" w:cs="Calibri"/>
          <w:bCs/>
          <w:sz w:val="24"/>
          <w:szCs w:val="24"/>
          <w:lang w:val="en-AU"/>
        </w:rPr>
        <w:t>when that conduct is</w:t>
      </w:r>
      <w:r>
        <w:rPr>
          <w:rFonts w:ascii="Calibri" w:eastAsia="Times" w:hAnsi="Calibri" w:cs="Calibri"/>
          <w:bCs/>
          <w:sz w:val="24"/>
          <w:szCs w:val="24"/>
          <w:lang w:val="en-AU"/>
        </w:rPr>
        <w:t xml:space="preserve"> charged as professional misconduct or ‘conduct unbecoming’.</w:t>
      </w:r>
    </w:p>
    <w:p w14:paraId="19C2A1B2" w14:textId="77777777" w:rsidR="001C101E" w:rsidRDefault="001C101E" w:rsidP="006C6CEB">
      <w:pPr>
        <w:tabs>
          <w:tab w:val="left" w:pos="567"/>
        </w:tabs>
        <w:spacing w:after="0" w:line="360" w:lineRule="auto"/>
        <w:jc w:val="both"/>
        <w:rPr>
          <w:rFonts w:ascii="Calibri" w:eastAsia="Times" w:hAnsi="Calibri" w:cs="Calibri"/>
          <w:bCs/>
          <w:i/>
          <w:iCs/>
          <w:sz w:val="24"/>
          <w:szCs w:val="24"/>
          <w:lang w:val="en-AU"/>
        </w:rPr>
      </w:pPr>
    </w:p>
    <w:p w14:paraId="09E0C932" w14:textId="07579636" w:rsidR="006C6CEB" w:rsidRPr="00DD0480" w:rsidRDefault="00DD0480" w:rsidP="006C6CEB">
      <w:pPr>
        <w:tabs>
          <w:tab w:val="left" w:pos="567"/>
        </w:tabs>
        <w:spacing w:after="0" w:line="360" w:lineRule="auto"/>
        <w:jc w:val="both"/>
        <w:rPr>
          <w:rFonts w:ascii="Calibri" w:eastAsia="Times" w:hAnsi="Calibri" w:cs="Calibri"/>
          <w:b/>
          <w:i/>
          <w:iCs/>
          <w:sz w:val="24"/>
          <w:szCs w:val="24"/>
          <w:lang w:val="en-AU"/>
        </w:rPr>
      </w:pPr>
      <w:r>
        <w:rPr>
          <w:rFonts w:ascii="Calibri" w:eastAsia="Times" w:hAnsi="Calibri" w:cs="Calibri"/>
          <w:bCs/>
          <w:i/>
          <w:iCs/>
          <w:sz w:val="24"/>
          <w:szCs w:val="24"/>
          <w:lang w:val="en-AU"/>
        </w:rPr>
        <w:t>Other considerations</w:t>
      </w:r>
    </w:p>
    <w:p w14:paraId="644C702C" w14:textId="302AD83D" w:rsidR="006F5D5C" w:rsidRDefault="007F7E94" w:rsidP="005742C8">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The</w:t>
      </w:r>
      <w:r w:rsidR="00150E48">
        <w:rPr>
          <w:rFonts w:ascii="Calibri" w:eastAsia="Times" w:hAnsi="Calibri" w:cs="Calibri"/>
          <w:bCs/>
          <w:sz w:val="24"/>
          <w:szCs w:val="24"/>
          <w:lang w:val="en-AU"/>
        </w:rPr>
        <w:t xml:space="preserve"> Tribunal does not consider that that the jurisdiction conferred on the Tribunal under sections 82(1)(a) and (b) should be broadly interpreted to extend to pre-registration conduct</w:t>
      </w:r>
      <w:r w:rsidR="003C6D1A">
        <w:rPr>
          <w:rFonts w:ascii="Calibri" w:eastAsia="Times" w:hAnsi="Calibri" w:cs="Calibri"/>
          <w:bCs/>
          <w:sz w:val="24"/>
          <w:szCs w:val="24"/>
          <w:lang w:val="en-AU"/>
        </w:rPr>
        <w:t xml:space="preserve"> (conduct that is alleged to have occurred entirely and exclusively prior to registration)</w:t>
      </w:r>
      <w:r w:rsidR="00150E48">
        <w:rPr>
          <w:rFonts w:ascii="Calibri" w:eastAsia="Times" w:hAnsi="Calibri" w:cs="Calibri"/>
          <w:bCs/>
          <w:sz w:val="24"/>
          <w:szCs w:val="24"/>
          <w:lang w:val="en-AU"/>
        </w:rPr>
        <w:t>.</w:t>
      </w:r>
      <w:r w:rsidR="00D708A7">
        <w:rPr>
          <w:rFonts w:ascii="Calibri" w:eastAsia="Times" w:hAnsi="Calibri" w:cs="Calibri"/>
          <w:bCs/>
          <w:sz w:val="24"/>
          <w:szCs w:val="24"/>
          <w:lang w:val="en-AU"/>
        </w:rPr>
        <w:t xml:space="preserve"> </w:t>
      </w:r>
      <w:r w:rsidR="008B3EAE">
        <w:rPr>
          <w:rFonts w:ascii="Calibri" w:eastAsia="Times" w:hAnsi="Calibri" w:cs="Calibri"/>
          <w:bCs/>
          <w:sz w:val="24"/>
          <w:szCs w:val="24"/>
          <w:lang w:val="en-AU"/>
        </w:rPr>
        <w:t>Given the consequences for a person’s livelihood that flow from being subject to a regulatory scheme</w:t>
      </w:r>
      <w:r w:rsidR="00692882">
        <w:rPr>
          <w:rFonts w:ascii="Calibri" w:eastAsia="Times" w:hAnsi="Calibri" w:cs="Calibri"/>
          <w:bCs/>
          <w:sz w:val="24"/>
          <w:szCs w:val="24"/>
          <w:lang w:val="en-AU"/>
        </w:rPr>
        <w:t xml:space="preserve">, </w:t>
      </w:r>
      <w:r w:rsidR="004964B0">
        <w:rPr>
          <w:rFonts w:ascii="Calibri" w:eastAsia="Times" w:hAnsi="Calibri" w:cs="Calibri"/>
          <w:bCs/>
          <w:sz w:val="24"/>
          <w:szCs w:val="24"/>
          <w:lang w:val="en-AU"/>
        </w:rPr>
        <w:t>and the voluntary nature of registration between 2003</w:t>
      </w:r>
      <w:r w:rsidR="009719A9">
        <w:rPr>
          <w:rFonts w:ascii="Calibri" w:eastAsia="Times" w:hAnsi="Calibri" w:cs="Calibri"/>
          <w:bCs/>
          <w:sz w:val="24"/>
          <w:szCs w:val="24"/>
          <w:lang w:val="en-AU"/>
        </w:rPr>
        <w:t xml:space="preserve"> </w:t>
      </w:r>
      <w:r w:rsidR="004964B0">
        <w:rPr>
          <w:rFonts w:ascii="Calibri" w:eastAsia="Times" w:hAnsi="Calibri" w:cs="Calibri"/>
          <w:bCs/>
          <w:sz w:val="24"/>
          <w:szCs w:val="24"/>
          <w:lang w:val="en-AU"/>
        </w:rPr>
        <w:t>and 2021</w:t>
      </w:r>
      <w:r w:rsidR="00D74605">
        <w:rPr>
          <w:rFonts w:ascii="Calibri" w:eastAsia="Times" w:hAnsi="Calibri" w:cs="Calibri"/>
          <w:bCs/>
          <w:sz w:val="24"/>
          <w:szCs w:val="24"/>
          <w:lang w:val="en-AU"/>
        </w:rPr>
        <w:t xml:space="preserve"> </w:t>
      </w:r>
      <w:r w:rsidR="00692882">
        <w:rPr>
          <w:rFonts w:ascii="Calibri" w:eastAsia="Times" w:hAnsi="Calibri" w:cs="Calibri"/>
          <w:bCs/>
          <w:sz w:val="24"/>
          <w:szCs w:val="24"/>
          <w:lang w:val="en-AU"/>
        </w:rPr>
        <w:t xml:space="preserve">professional discipline legislation like the SWR Act should in the Tribunal’s view </w:t>
      </w:r>
      <w:r w:rsidR="00631DC0">
        <w:rPr>
          <w:rFonts w:ascii="Calibri" w:eastAsia="Times" w:hAnsi="Calibri" w:cs="Calibri"/>
          <w:bCs/>
          <w:sz w:val="24"/>
          <w:szCs w:val="24"/>
          <w:lang w:val="en-AU"/>
        </w:rPr>
        <w:t>not</w:t>
      </w:r>
      <w:r w:rsidR="00BC3A3D">
        <w:rPr>
          <w:rFonts w:ascii="Calibri" w:eastAsia="Times" w:hAnsi="Calibri" w:cs="Calibri"/>
          <w:bCs/>
          <w:sz w:val="24"/>
          <w:szCs w:val="24"/>
          <w:lang w:val="en-AU"/>
        </w:rPr>
        <w:t xml:space="preserve"> have</w:t>
      </w:r>
      <w:r w:rsidR="00631DC0">
        <w:rPr>
          <w:rFonts w:ascii="Calibri" w:eastAsia="Times" w:hAnsi="Calibri" w:cs="Calibri"/>
          <w:bCs/>
          <w:sz w:val="24"/>
          <w:szCs w:val="24"/>
          <w:lang w:val="en-AU"/>
        </w:rPr>
        <w:t xml:space="preserve"> retrospective</w:t>
      </w:r>
      <w:r w:rsidR="00BC3A3D">
        <w:rPr>
          <w:rFonts w:ascii="Calibri" w:eastAsia="Times" w:hAnsi="Calibri" w:cs="Calibri"/>
          <w:bCs/>
          <w:sz w:val="24"/>
          <w:szCs w:val="24"/>
          <w:lang w:val="en-AU"/>
        </w:rPr>
        <w:t xml:space="preserve"> effect unless that is clearly Parliament’s intention</w:t>
      </w:r>
      <w:r w:rsidR="00692882">
        <w:rPr>
          <w:rFonts w:ascii="Calibri" w:eastAsia="Times" w:hAnsi="Calibri" w:cs="Calibri"/>
          <w:bCs/>
          <w:sz w:val="24"/>
          <w:szCs w:val="24"/>
          <w:lang w:val="en-AU"/>
        </w:rPr>
        <w:t>.</w:t>
      </w:r>
      <w:r w:rsidR="00F742E0">
        <w:rPr>
          <w:rFonts w:ascii="Calibri" w:eastAsia="Times" w:hAnsi="Calibri" w:cs="Calibri"/>
          <w:bCs/>
          <w:sz w:val="24"/>
          <w:szCs w:val="24"/>
          <w:lang w:val="en-AU"/>
        </w:rPr>
        <w:t xml:space="preserve"> </w:t>
      </w:r>
    </w:p>
    <w:p w14:paraId="261BA496" w14:textId="7043AC2A" w:rsidR="006579E4" w:rsidRPr="005742C8" w:rsidRDefault="00F742E0" w:rsidP="005742C8">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Having regard to the public protection </w:t>
      </w:r>
      <w:r w:rsidR="00351A21">
        <w:rPr>
          <w:rFonts w:ascii="Calibri" w:eastAsia="Times" w:hAnsi="Calibri" w:cs="Calibri"/>
          <w:bCs/>
          <w:sz w:val="24"/>
          <w:szCs w:val="24"/>
          <w:lang w:val="en-AU"/>
        </w:rPr>
        <w:t xml:space="preserve">intent of the legislation, the Tribunal notes that at the time of the alleged conduct as charged, the public was not protected </w:t>
      </w:r>
      <w:r w:rsidR="008C6F59">
        <w:rPr>
          <w:rFonts w:ascii="Calibri" w:eastAsia="Times" w:hAnsi="Calibri" w:cs="Calibri"/>
          <w:bCs/>
          <w:sz w:val="24"/>
          <w:szCs w:val="24"/>
          <w:lang w:val="en-AU"/>
        </w:rPr>
        <w:t>from</w:t>
      </w:r>
      <w:r w:rsidR="00351A21">
        <w:rPr>
          <w:rFonts w:ascii="Calibri" w:eastAsia="Times" w:hAnsi="Calibri" w:cs="Calibri"/>
          <w:bCs/>
          <w:sz w:val="24"/>
          <w:szCs w:val="24"/>
          <w:lang w:val="en-AU"/>
        </w:rPr>
        <w:t xml:space="preserve"> the practitioner because of the voluntary registration regime</w:t>
      </w:r>
      <w:r w:rsidR="00731D3C">
        <w:rPr>
          <w:rFonts w:ascii="Calibri" w:eastAsia="Times" w:hAnsi="Calibri" w:cs="Calibri"/>
          <w:bCs/>
          <w:sz w:val="24"/>
          <w:szCs w:val="24"/>
          <w:lang w:val="en-AU"/>
        </w:rPr>
        <w:t xml:space="preserve"> in place</w:t>
      </w:r>
      <w:r w:rsidR="009210C2">
        <w:rPr>
          <w:rFonts w:ascii="Calibri" w:eastAsia="Times" w:hAnsi="Calibri" w:cs="Calibri"/>
          <w:bCs/>
          <w:sz w:val="24"/>
          <w:szCs w:val="24"/>
          <w:lang w:val="en-AU"/>
        </w:rPr>
        <w:t xml:space="preserve"> under the SWR Act</w:t>
      </w:r>
      <w:r w:rsidR="00351A21">
        <w:rPr>
          <w:rFonts w:ascii="Calibri" w:eastAsia="Times" w:hAnsi="Calibri" w:cs="Calibri"/>
          <w:bCs/>
          <w:sz w:val="24"/>
          <w:szCs w:val="24"/>
          <w:lang w:val="en-AU"/>
        </w:rPr>
        <w:t>.</w:t>
      </w:r>
      <w:r w:rsidR="001404A7">
        <w:rPr>
          <w:rFonts w:ascii="Calibri" w:eastAsia="Times" w:hAnsi="Calibri" w:cs="Calibri"/>
          <w:bCs/>
          <w:sz w:val="24"/>
          <w:szCs w:val="24"/>
          <w:lang w:val="en-AU"/>
        </w:rPr>
        <w:t xml:space="preserve"> Counsel for the PCC accepted that.</w:t>
      </w:r>
      <w:r w:rsidR="00351A21">
        <w:rPr>
          <w:rFonts w:ascii="Calibri" w:eastAsia="Times" w:hAnsi="Calibri" w:cs="Calibri"/>
          <w:bCs/>
          <w:sz w:val="24"/>
          <w:szCs w:val="24"/>
          <w:lang w:val="en-AU"/>
        </w:rPr>
        <w:t xml:space="preserve"> The Tribunal does not consider it fair</w:t>
      </w:r>
      <w:r w:rsidR="00AF53F2">
        <w:rPr>
          <w:rFonts w:ascii="Calibri" w:eastAsia="Times" w:hAnsi="Calibri" w:cs="Calibri"/>
          <w:bCs/>
          <w:sz w:val="24"/>
          <w:szCs w:val="24"/>
          <w:lang w:val="en-AU"/>
        </w:rPr>
        <w:t xml:space="preserve">, </w:t>
      </w:r>
      <w:r w:rsidR="00351A21">
        <w:rPr>
          <w:rFonts w:ascii="Calibri" w:eastAsia="Times" w:hAnsi="Calibri" w:cs="Calibri"/>
          <w:bCs/>
          <w:sz w:val="24"/>
          <w:szCs w:val="24"/>
          <w:lang w:val="en-AU"/>
        </w:rPr>
        <w:t>reasonable</w:t>
      </w:r>
      <w:r w:rsidR="00AF53F2">
        <w:rPr>
          <w:rFonts w:ascii="Calibri" w:eastAsia="Times" w:hAnsi="Calibri" w:cs="Calibri"/>
          <w:bCs/>
          <w:sz w:val="24"/>
          <w:szCs w:val="24"/>
          <w:lang w:val="en-AU"/>
        </w:rPr>
        <w:t>, or</w:t>
      </w:r>
      <w:r w:rsidR="00515C75">
        <w:rPr>
          <w:rFonts w:ascii="Calibri" w:eastAsia="Times" w:hAnsi="Calibri" w:cs="Calibri"/>
          <w:bCs/>
          <w:sz w:val="24"/>
          <w:szCs w:val="24"/>
          <w:lang w:val="en-AU"/>
        </w:rPr>
        <w:t xml:space="preserve"> that it was</w:t>
      </w:r>
      <w:r w:rsidR="00AF53F2">
        <w:rPr>
          <w:rFonts w:ascii="Calibri" w:eastAsia="Times" w:hAnsi="Calibri" w:cs="Calibri"/>
          <w:bCs/>
          <w:sz w:val="24"/>
          <w:szCs w:val="24"/>
          <w:lang w:val="en-AU"/>
        </w:rPr>
        <w:t xml:space="preserve"> Parliament’s intent</w:t>
      </w:r>
      <w:r w:rsidR="00351A21">
        <w:rPr>
          <w:rFonts w:ascii="Calibri" w:eastAsia="Times" w:hAnsi="Calibri" w:cs="Calibri"/>
          <w:bCs/>
          <w:sz w:val="24"/>
          <w:szCs w:val="24"/>
          <w:lang w:val="en-AU"/>
        </w:rPr>
        <w:t xml:space="preserve"> </w:t>
      </w:r>
      <w:r w:rsidR="00EE6B6E">
        <w:rPr>
          <w:rFonts w:ascii="Calibri" w:eastAsia="Times" w:hAnsi="Calibri" w:cs="Calibri"/>
          <w:bCs/>
          <w:sz w:val="24"/>
          <w:szCs w:val="24"/>
          <w:lang w:val="en-AU"/>
        </w:rPr>
        <w:t xml:space="preserve">that </w:t>
      </w:r>
      <w:r w:rsidR="00226C5A">
        <w:rPr>
          <w:rFonts w:ascii="Calibri" w:eastAsia="Times" w:hAnsi="Calibri" w:cs="Calibri"/>
          <w:bCs/>
          <w:sz w:val="24"/>
          <w:szCs w:val="24"/>
          <w:lang w:val="en-AU"/>
        </w:rPr>
        <w:t>when a person becomes registered</w:t>
      </w:r>
      <w:r w:rsidR="00EE6B6E">
        <w:rPr>
          <w:rFonts w:ascii="Calibri" w:eastAsia="Times" w:hAnsi="Calibri" w:cs="Calibri"/>
          <w:bCs/>
          <w:sz w:val="24"/>
          <w:szCs w:val="24"/>
          <w:lang w:val="en-AU"/>
        </w:rPr>
        <w:t>, the practitioner immediately expose</w:t>
      </w:r>
      <w:r w:rsidR="00226C5A">
        <w:rPr>
          <w:rFonts w:ascii="Calibri" w:eastAsia="Times" w:hAnsi="Calibri" w:cs="Calibri"/>
          <w:bCs/>
          <w:sz w:val="24"/>
          <w:szCs w:val="24"/>
          <w:lang w:val="en-AU"/>
        </w:rPr>
        <w:t>s himself or</w:t>
      </w:r>
      <w:r w:rsidR="005A0DCB">
        <w:rPr>
          <w:rFonts w:ascii="Calibri" w:eastAsia="Times" w:hAnsi="Calibri" w:cs="Calibri"/>
          <w:bCs/>
          <w:sz w:val="24"/>
          <w:szCs w:val="24"/>
          <w:lang w:val="en-AU"/>
        </w:rPr>
        <w:t xml:space="preserve"> herself to disciplinary liability </w:t>
      </w:r>
      <w:r w:rsidR="000E63EE">
        <w:rPr>
          <w:rFonts w:ascii="Calibri" w:eastAsia="Times" w:hAnsi="Calibri" w:cs="Calibri"/>
          <w:bCs/>
          <w:sz w:val="24"/>
          <w:szCs w:val="24"/>
          <w:lang w:val="en-AU"/>
        </w:rPr>
        <w:t xml:space="preserve">for </w:t>
      </w:r>
      <w:r w:rsidR="001459B8">
        <w:rPr>
          <w:rFonts w:ascii="Calibri" w:eastAsia="Times" w:hAnsi="Calibri" w:cs="Calibri"/>
          <w:bCs/>
          <w:sz w:val="24"/>
          <w:szCs w:val="24"/>
          <w:lang w:val="en-AU"/>
        </w:rPr>
        <w:t xml:space="preserve">such </w:t>
      </w:r>
      <w:r w:rsidR="000E63EE">
        <w:rPr>
          <w:rFonts w:ascii="Calibri" w:eastAsia="Times" w:hAnsi="Calibri" w:cs="Calibri"/>
          <w:bCs/>
          <w:sz w:val="24"/>
          <w:szCs w:val="24"/>
          <w:lang w:val="en-AU"/>
        </w:rPr>
        <w:t xml:space="preserve">conduct </w:t>
      </w:r>
      <w:r w:rsidR="005A0DCB">
        <w:rPr>
          <w:rFonts w:ascii="Calibri" w:eastAsia="Times" w:hAnsi="Calibri" w:cs="Calibri"/>
          <w:bCs/>
          <w:sz w:val="24"/>
          <w:szCs w:val="24"/>
          <w:lang w:val="en-AU"/>
        </w:rPr>
        <w:t xml:space="preserve">under section 82(1)(a) and (b). </w:t>
      </w:r>
      <w:r w:rsidR="00CC7E14">
        <w:rPr>
          <w:rFonts w:ascii="Calibri" w:eastAsia="Times" w:hAnsi="Calibri" w:cs="Calibri"/>
          <w:bCs/>
          <w:sz w:val="24"/>
          <w:szCs w:val="24"/>
          <w:lang w:val="en-AU"/>
        </w:rPr>
        <w:t xml:space="preserve"> </w:t>
      </w:r>
    </w:p>
    <w:p w14:paraId="187C59E8" w14:textId="5EC4A48F" w:rsidR="003E0042" w:rsidRPr="005C20D6" w:rsidRDefault="006C31D1" w:rsidP="00AE3A09">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0"/>
          <w:lang w:val="en-AU"/>
        </w:rPr>
        <w:t xml:space="preserve">The reality is that </w:t>
      </w:r>
      <w:r w:rsidR="00923395">
        <w:rPr>
          <w:rFonts w:ascii="Calibri" w:eastAsia="Times" w:hAnsi="Calibri" w:cs="Calibri"/>
          <w:bCs/>
          <w:sz w:val="24"/>
          <w:szCs w:val="20"/>
          <w:lang w:val="en-AU"/>
        </w:rPr>
        <w:t xml:space="preserve">before a social worker registered with the Board under the Act, </w:t>
      </w:r>
      <w:r w:rsidR="008801A5">
        <w:rPr>
          <w:rFonts w:ascii="Calibri" w:eastAsia="Times" w:hAnsi="Calibri" w:cs="Calibri"/>
          <w:bCs/>
          <w:sz w:val="24"/>
          <w:szCs w:val="20"/>
          <w:lang w:val="en-AU"/>
        </w:rPr>
        <w:t xml:space="preserve">he or she </w:t>
      </w:r>
      <w:r w:rsidR="003147AF">
        <w:rPr>
          <w:rFonts w:ascii="Calibri" w:eastAsia="Times" w:hAnsi="Calibri" w:cs="Calibri"/>
          <w:bCs/>
          <w:sz w:val="24"/>
          <w:szCs w:val="20"/>
          <w:lang w:val="en-AU"/>
        </w:rPr>
        <w:t xml:space="preserve">or they </w:t>
      </w:r>
      <w:r>
        <w:rPr>
          <w:rFonts w:ascii="Calibri" w:eastAsia="Times" w:hAnsi="Calibri" w:cs="Calibri"/>
          <w:bCs/>
          <w:sz w:val="24"/>
          <w:szCs w:val="20"/>
          <w:lang w:val="en-AU"/>
        </w:rPr>
        <w:t>may well have done something deliberately or otherwise that could have been detrimental to the welfare or safety of a person</w:t>
      </w:r>
      <w:r w:rsidR="008801A5">
        <w:rPr>
          <w:rFonts w:ascii="Calibri" w:eastAsia="Times" w:hAnsi="Calibri" w:cs="Calibri"/>
          <w:bCs/>
          <w:sz w:val="24"/>
          <w:szCs w:val="20"/>
          <w:lang w:val="en-AU"/>
        </w:rPr>
        <w:t>,</w:t>
      </w:r>
      <w:r>
        <w:rPr>
          <w:rFonts w:ascii="Calibri" w:eastAsia="Times" w:hAnsi="Calibri" w:cs="Calibri"/>
          <w:bCs/>
          <w:sz w:val="24"/>
          <w:szCs w:val="20"/>
          <w:lang w:val="en-AU"/>
        </w:rPr>
        <w:t xml:space="preserve"> knowing that he or she was </w:t>
      </w:r>
      <w:r w:rsidR="006928C8">
        <w:rPr>
          <w:rFonts w:ascii="Calibri" w:eastAsia="Times" w:hAnsi="Calibri" w:cs="Calibri"/>
          <w:bCs/>
          <w:sz w:val="24"/>
          <w:szCs w:val="20"/>
          <w:lang w:val="en-AU"/>
        </w:rPr>
        <w:t xml:space="preserve">or </w:t>
      </w:r>
      <w:r w:rsidR="006928C8">
        <w:rPr>
          <w:rFonts w:ascii="Calibri" w:eastAsia="Times" w:hAnsi="Calibri" w:cs="Calibri"/>
          <w:bCs/>
          <w:sz w:val="24"/>
          <w:szCs w:val="20"/>
          <w:lang w:val="en-AU"/>
        </w:rPr>
        <w:lastRenderedPageBreak/>
        <w:t xml:space="preserve">they were </w:t>
      </w:r>
      <w:r w:rsidR="008801A5">
        <w:rPr>
          <w:rFonts w:ascii="Calibri" w:eastAsia="Times" w:hAnsi="Calibri" w:cs="Calibri"/>
          <w:bCs/>
          <w:sz w:val="24"/>
          <w:szCs w:val="20"/>
          <w:lang w:val="en-AU"/>
        </w:rPr>
        <w:t xml:space="preserve">not </w:t>
      </w:r>
      <w:r>
        <w:rPr>
          <w:rFonts w:ascii="Calibri" w:eastAsia="Times" w:hAnsi="Calibri" w:cs="Calibri"/>
          <w:bCs/>
          <w:sz w:val="24"/>
          <w:szCs w:val="20"/>
          <w:lang w:val="en-AU"/>
        </w:rPr>
        <w:t>liable to disciplinary action for so doing</w:t>
      </w:r>
      <w:r w:rsidR="008801A5">
        <w:rPr>
          <w:rFonts w:ascii="Calibri" w:eastAsia="Times" w:hAnsi="Calibri" w:cs="Calibri"/>
          <w:bCs/>
          <w:sz w:val="24"/>
          <w:szCs w:val="20"/>
          <w:lang w:val="en-AU"/>
        </w:rPr>
        <w:t xml:space="preserve">. </w:t>
      </w:r>
      <w:r w:rsidR="00F851D9">
        <w:rPr>
          <w:rFonts w:ascii="Calibri" w:eastAsia="Times" w:hAnsi="Calibri" w:cs="Calibri"/>
          <w:bCs/>
          <w:sz w:val="24"/>
          <w:szCs w:val="20"/>
          <w:lang w:val="en-AU"/>
        </w:rPr>
        <w:t>T</w:t>
      </w:r>
      <w:r w:rsidR="008801A5">
        <w:rPr>
          <w:rFonts w:ascii="Calibri" w:eastAsia="Times" w:hAnsi="Calibri" w:cs="Calibri"/>
          <w:bCs/>
          <w:sz w:val="24"/>
          <w:szCs w:val="20"/>
          <w:lang w:val="en-AU"/>
        </w:rPr>
        <w:t xml:space="preserve">hat is the </w:t>
      </w:r>
      <w:r w:rsidR="008C2A49">
        <w:rPr>
          <w:rFonts w:ascii="Calibri" w:eastAsia="Times" w:hAnsi="Calibri" w:cs="Calibri"/>
          <w:bCs/>
          <w:sz w:val="24"/>
          <w:szCs w:val="20"/>
          <w:lang w:val="en-AU"/>
        </w:rPr>
        <w:t xml:space="preserve">very </w:t>
      </w:r>
      <w:r w:rsidR="008801A5">
        <w:rPr>
          <w:rFonts w:ascii="Calibri" w:eastAsia="Times" w:hAnsi="Calibri" w:cs="Calibri"/>
          <w:bCs/>
          <w:sz w:val="24"/>
          <w:szCs w:val="20"/>
          <w:lang w:val="en-AU"/>
        </w:rPr>
        <w:t xml:space="preserve">situation that Parliament has intended to rectify by legislating for </w:t>
      </w:r>
      <w:r w:rsidR="008C2A49">
        <w:rPr>
          <w:rFonts w:ascii="Calibri" w:eastAsia="Times" w:hAnsi="Calibri" w:cs="Calibri"/>
          <w:bCs/>
          <w:sz w:val="24"/>
          <w:szCs w:val="20"/>
          <w:lang w:val="en-AU"/>
        </w:rPr>
        <w:t xml:space="preserve">the </w:t>
      </w:r>
      <w:r w:rsidR="008801A5">
        <w:rPr>
          <w:rFonts w:ascii="Calibri" w:eastAsia="Times" w:hAnsi="Calibri" w:cs="Calibri"/>
          <w:bCs/>
          <w:sz w:val="24"/>
          <w:szCs w:val="20"/>
          <w:lang w:val="en-AU"/>
        </w:rPr>
        <w:t>mandatory registration of social workers.</w:t>
      </w:r>
    </w:p>
    <w:p w14:paraId="7D55C3BC" w14:textId="1EBE9BE8" w:rsidR="008E7442" w:rsidRDefault="00217C8D" w:rsidP="00217C8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While the Tribunal accept</w:t>
      </w:r>
      <w:r w:rsidR="0002742F">
        <w:rPr>
          <w:rFonts w:ascii="Calibri" w:eastAsia="Times" w:hAnsi="Calibri" w:cs="Calibri"/>
          <w:bCs/>
          <w:sz w:val="24"/>
          <w:szCs w:val="24"/>
          <w:lang w:val="en-AU"/>
        </w:rPr>
        <w:t>ed the PCC’s submission</w:t>
      </w:r>
      <w:r w:rsidR="00170AE9">
        <w:rPr>
          <w:rFonts w:ascii="Calibri" w:eastAsia="Times" w:hAnsi="Calibri" w:cs="Calibri"/>
          <w:bCs/>
          <w:sz w:val="24"/>
          <w:szCs w:val="24"/>
          <w:lang w:val="en-AU"/>
        </w:rPr>
        <w:t xml:space="preserve"> that there</w:t>
      </w:r>
      <w:r>
        <w:rPr>
          <w:rFonts w:ascii="Calibri" w:eastAsia="Times" w:hAnsi="Calibri" w:cs="Calibri"/>
          <w:bCs/>
          <w:sz w:val="24"/>
          <w:szCs w:val="24"/>
          <w:lang w:val="en-AU"/>
        </w:rPr>
        <w:t xml:space="preserve"> are policy reasons </w:t>
      </w:r>
      <w:r w:rsidR="004964B0">
        <w:rPr>
          <w:rFonts w:ascii="Calibri" w:eastAsia="Times" w:hAnsi="Calibri" w:cs="Calibri"/>
          <w:bCs/>
          <w:sz w:val="24"/>
          <w:szCs w:val="24"/>
          <w:lang w:val="en-AU"/>
        </w:rPr>
        <w:t xml:space="preserve">- namely </w:t>
      </w:r>
      <w:r>
        <w:rPr>
          <w:rFonts w:ascii="Calibri" w:eastAsia="Times" w:hAnsi="Calibri" w:cs="Calibri"/>
          <w:bCs/>
          <w:sz w:val="24"/>
          <w:szCs w:val="24"/>
          <w:lang w:val="en-AU"/>
        </w:rPr>
        <w:t>public protection</w:t>
      </w:r>
      <w:r w:rsidR="004964B0">
        <w:rPr>
          <w:rFonts w:ascii="Calibri" w:eastAsia="Times" w:hAnsi="Calibri" w:cs="Calibri"/>
          <w:bCs/>
          <w:sz w:val="24"/>
          <w:szCs w:val="24"/>
          <w:lang w:val="en-AU"/>
        </w:rPr>
        <w:t xml:space="preserve">- </w:t>
      </w:r>
      <w:r>
        <w:rPr>
          <w:rFonts w:ascii="Calibri" w:eastAsia="Times" w:hAnsi="Calibri" w:cs="Calibri"/>
          <w:bCs/>
          <w:sz w:val="24"/>
          <w:szCs w:val="24"/>
          <w:lang w:val="en-AU"/>
        </w:rPr>
        <w:t>which point towards an interpretation of</w:t>
      </w:r>
      <w:r w:rsidR="001B2AAD">
        <w:rPr>
          <w:rFonts w:ascii="Calibri" w:eastAsia="Times" w:hAnsi="Calibri" w:cs="Calibri"/>
          <w:bCs/>
          <w:sz w:val="24"/>
          <w:szCs w:val="24"/>
          <w:lang w:val="en-AU"/>
        </w:rPr>
        <w:t xml:space="preserve"> section 82(1)(a) and (b)</w:t>
      </w:r>
      <w:r>
        <w:rPr>
          <w:rFonts w:ascii="Calibri" w:eastAsia="Times" w:hAnsi="Calibri" w:cs="Calibri"/>
          <w:bCs/>
          <w:sz w:val="24"/>
          <w:szCs w:val="24"/>
          <w:lang w:val="en-AU"/>
        </w:rPr>
        <w:t xml:space="preserve"> that supports the interpretation </w:t>
      </w:r>
      <w:r w:rsidR="0002742F">
        <w:rPr>
          <w:rFonts w:ascii="Calibri" w:eastAsia="Times" w:hAnsi="Calibri" w:cs="Calibri"/>
          <w:bCs/>
          <w:sz w:val="24"/>
          <w:szCs w:val="24"/>
          <w:lang w:val="en-AU"/>
        </w:rPr>
        <w:t>the PCC contended</w:t>
      </w:r>
      <w:r>
        <w:rPr>
          <w:rFonts w:ascii="Calibri" w:eastAsia="Times" w:hAnsi="Calibri" w:cs="Calibri"/>
          <w:bCs/>
          <w:sz w:val="24"/>
          <w:szCs w:val="24"/>
          <w:lang w:val="en-AU"/>
        </w:rPr>
        <w:t>,</w:t>
      </w:r>
      <w:r w:rsidR="00803AEE">
        <w:rPr>
          <w:rFonts w:ascii="Calibri" w:eastAsia="Times" w:hAnsi="Calibri" w:cs="Calibri"/>
          <w:bCs/>
          <w:sz w:val="24"/>
          <w:szCs w:val="24"/>
          <w:lang w:val="en-AU"/>
        </w:rPr>
        <w:t xml:space="preserve"> as indicated</w:t>
      </w:r>
      <w:r>
        <w:rPr>
          <w:rFonts w:ascii="Calibri" w:eastAsia="Times" w:hAnsi="Calibri" w:cs="Calibri"/>
          <w:bCs/>
          <w:sz w:val="24"/>
          <w:szCs w:val="24"/>
          <w:lang w:val="en-AU"/>
        </w:rPr>
        <w:t xml:space="preserve"> in the Tribunal’s view</w:t>
      </w:r>
      <w:r w:rsidR="009E6E2D">
        <w:rPr>
          <w:rFonts w:ascii="Calibri" w:eastAsia="Times" w:hAnsi="Calibri" w:cs="Calibri"/>
          <w:bCs/>
          <w:sz w:val="24"/>
          <w:szCs w:val="24"/>
          <w:lang w:val="en-AU"/>
        </w:rPr>
        <w:t xml:space="preserve"> there is also</w:t>
      </w:r>
      <w:r>
        <w:rPr>
          <w:rFonts w:ascii="Calibri" w:eastAsia="Times" w:hAnsi="Calibri" w:cs="Calibri"/>
          <w:bCs/>
          <w:sz w:val="24"/>
          <w:szCs w:val="24"/>
          <w:lang w:val="en-AU"/>
        </w:rPr>
        <w:t xml:space="preserve"> a significant public policy reason why it cannot have been</w:t>
      </w:r>
      <w:r w:rsidR="005D3C7B">
        <w:rPr>
          <w:rFonts w:ascii="Calibri" w:eastAsia="Times" w:hAnsi="Calibri" w:cs="Calibri"/>
          <w:bCs/>
          <w:sz w:val="24"/>
          <w:szCs w:val="24"/>
          <w:lang w:val="en-AU"/>
        </w:rPr>
        <w:t xml:space="preserve"> </w:t>
      </w:r>
      <w:r w:rsidR="008C0D52">
        <w:rPr>
          <w:rFonts w:ascii="Calibri" w:eastAsia="Times" w:hAnsi="Calibri" w:cs="Calibri"/>
          <w:bCs/>
          <w:sz w:val="24"/>
          <w:szCs w:val="24"/>
          <w:lang w:val="en-AU"/>
        </w:rPr>
        <w:t>(unless clearly expressed in the Act)</w:t>
      </w:r>
      <w:r>
        <w:rPr>
          <w:rFonts w:ascii="Calibri" w:eastAsia="Times" w:hAnsi="Calibri" w:cs="Calibri"/>
          <w:bCs/>
          <w:sz w:val="24"/>
          <w:szCs w:val="24"/>
          <w:lang w:val="en-AU"/>
        </w:rPr>
        <w:t xml:space="preserve"> Parliament’s intention to capture a social worker’s pre-registration conduc</w:t>
      </w:r>
      <w:r w:rsidR="004377F6">
        <w:rPr>
          <w:rFonts w:ascii="Calibri" w:eastAsia="Times" w:hAnsi="Calibri" w:cs="Calibri"/>
          <w:bCs/>
          <w:sz w:val="24"/>
          <w:szCs w:val="24"/>
          <w:lang w:val="en-AU"/>
        </w:rPr>
        <w:t>t</w:t>
      </w:r>
      <w:r>
        <w:rPr>
          <w:rFonts w:ascii="Calibri" w:eastAsia="Times" w:hAnsi="Calibri" w:cs="Calibri"/>
          <w:bCs/>
          <w:sz w:val="24"/>
          <w:szCs w:val="24"/>
          <w:lang w:val="en-AU"/>
        </w:rPr>
        <w:t>, at least in terms of the Tribunal’s disciplinary powers</w:t>
      </w:r>
      <w:r w:rsidR="00530694">
        <w:rPr>
          <w:rFonts w:ascii="Calibri" w:eastAsia="Times" w:hAnsi="Calibri" w:cs="Calibri"/>
          <w:bCs/>
          <w:sz w:val="24"/>
          <w:szCs w:val="24"/>
          <w:lang w:val="en-AU"/>
        </w:rPr>
        <w:t xml:space="preserve"> for offences under </w:t>
      </w:r>
      <w:r w:rsidR="009E6E2D">
        <w:rPr>
          <w:rFonts w:ascii="Calibri" w:eastAsia="Times" w:hAnsi="Calibri" w:cs="Calibri"/>
          <w:bCs/>
          <w:sz w:val="24"/>
          <w:szCs w:val="24"/>
          <w:lang w:val="en-AU"/>
        </w:rPr>
        <w:t>section 82(1)(a) and (b)</w:t>
      </w:r>
      <w:r>
        <w:rPr>
          <w:rFonts w:ascii="Calibri" w:eastAsia="Times" w:hAnsi="Calibri" w:cs="Calibri"/>
          <w:bCs/>
          <w:sz w:val="24"/>
          <w:szCs w:val="24"/>
          <w:lang w:val="en-AU"/>
        </w:rPr>
        <w:t xml:space="preserve">. </w:t>
      </w:r>
      <w:r w:rsidR="0014681E">
        <w:rPr>
          <w:rFonts w:ascii="Calibri" w:eastAsia="Times" w:hAnsi="Calibri" w:cs="Calibri"/>
          <w:bCs/>
          <w:sz w:val="24"/>
          <w:szCs w:val="24"/>
          <w:lang w:val="en-AU"/>
        </w:rPr>
        <w:t xml:space="preserve"> </w:t>
      </w:r>
      <w:r>
        <w:rPr>
          <w:rFonts w:ascii="Calibri" w:eastAsia="Times" w:hAnsi="Calibri" w:cs="Calibri"/>
          <w:bCs/>
          <w:sz w:val="24"/>
          <w:szCs w:val="24"/>
          <w:lang w:val="en-AU"/>
        </w:rPr>
        <w:t xml:space="preserve">That policy reason is the need to avoid ‘opening the floodgates’ of complaints and disciplinary proceedings, which the Tribunal considers is </w:t>
      </w:r>
      <w:r w:rsidR="0014681E">
        <w:rPr>
          <w:rFonts w:ascii="Calibri" w:eastAsia="Times" w:hAnsi="Calibri" w:cs="Calibri"/>
          <w:bCs/>
          <w:sz w:val="24"/>
          <w:szCs w:val="24"/>
          <w:lang w:val="en-AU"/>
        </w:rPr>
        <w:t>a real possibility</w:t>
      </w:r>
      <w:r>
        <w:rPr>
          <w:rFonts w:ascii="Calibri" w:eastAsia="Times" w:hAnsi="Calibri" w:cs="Calibri"/>
          <w:bCs/>
          <w:sz w:val="24"/>
          <w:szCs w:val="24"/>
          <w:lang w:val="en-AU"/>
        </w:rPr>
        <w:t xml:space="preserve"> were it </w:t>
      </w:r>
      <w:r w:rsidR="00D74605">
        <w:rPr>
          <w:rFonts w:ascii="Calibri" w:eastAsia="Times" w:hAnsi="Calibri" w:cs="Calibri"/>
          <w:bCs/>
          <w:sz w:val="24"/>
          <w:szCs w:val="24"/>
          <w:lang w:val="en-AU"/>
        </w:rPr>
        <w:t>to find the</w:t>
      </w:r>
      <w:r w:rsidR="0014681E">
        <w:rPr>
          <w:rFonts w:ascii="Calibri" w:eastAsia="Times" w:hAnsi="Calibri" w:cs="Calibri"/>
          <w:bCs/>
          <w:sz w:val="24"/>
          <w:szCs w:val="24"/>
          <w:lang w:val="en-AU"/>
        </w:rPr>
        <w:t xml:space="preserve"> Tribunal</w:t>
      </w:r>
      <w:r>
        <w:rPr>
          <w:rFonts w:ascii="Calibri" w:eastAsia="Times" w:hAnsi="Calibri" w:cs="Calibri"/>
          <w:bCs/>
          <w:sz w:val="24"/>
          <w:szCs w:val="24"/>
          <w:lang w:val="en-AU"/>
        </w:rPr>
        <w:t xml:space="preserve"> has jurisdiction over the practitioner’s conduct in this case. Any person who knows a social worker is now registered under the SWR Act could make a complaint about that social worker, even in respect of historical conduct in the course of their practise of social work when they were not </w:t>
      </w:r>
      <w:r w:rsidR="00271C37">
        <w:rPr>
          <w:rFonts w:ascii="Calibri" w:eastAsia="Times" w:hAnsi="Calibri" w:cs="Calibri"/>
          <w:bCs/>
          <w:sz w:val="24"/>
          <w:szCs w:val="24"/>
          <w:lang w:val="en-AU"/>
        </w:rPr>
        <w:t xml:space="preserve">registered (and </w:t>
      </w:r>
      <w:r w:rsidR="008E7442">
        <w:rPr>
          <w:rFonts w:ascii="Calibri" w:eastAsia="Times" w:hAnsi="Calibri" w:cs="Calibri"/>
          <w:bCs/>
          <w:sz w:val="24"/>
          <w:szCs w:val="24"/>
          <w:lang w:val="en-AU"/>
        </w:rPr>
        <w:t xml:space="preserve">were </w:t>
      </w:r>
      <w:r w:rsidR="00271C37">
        <w:rPr>
          <w:rFonts w:ascii="Calibri" w:eastAsia="Times" w:hAnsi="Calibri" w:cs="Calibri"/>
          <w:bCs/>
          <w:sz w:val="24"/>
          <w:szCs w:val="24"/>
          <w:lang w:val="en-AU"/>
        </w:rPr>
        <w:t xml:space="preserve">not </w:t>
      </w:r>
      <w:r>
        <w:rPr>
          <w:rFonts w:ascii="Calibri" w:eastAsia="Times" w:hAnsi="Calibri" w:cs="Calibri"/>
          <w:bCs/>
          <w:sz w:val="24"/>
          <w:szCs w:val="24"/>
          <w:lang w:val="en-AU"/>
        </w:rPr>
        <w:t>required to be registered</w:t>
      </w:r>
      <w:r w:rsidR="00271C37">
        <w:rPr>
          <w:rFonts w:ascii="Calibri" w:eastAsia="Times" w:hAnsi="Calibri" w:cs="Calibri"/>
          <w:bCs/>
          <w:sz w:val="24"/>
          <w:szCs w:val="24"/>
          <w:lang w:val="en-AU"/>
        </w:rPr>
        <w:t>).</w:t>
      </w:r>
      <w:r w:rsidR="00B45D84" w:rsidRPr="00B45D84">
        <w:rPr>
          <w:rFonts w:ascii="Calibri" w:eastAsia="Times" w:hAnsi="Calibri" w:cs="Calibri"/>
          <w:bCs/>
          <w:sz w:val="24"/>
          <w:szCs w:val="24"/>
          <w:lang w:val="en-AU"/>
        </w:rPr>
        <w:t xml:space="preserve"> </w:t>
      </w:r>
      <w:r w:rsidR="00B45D84">
        <w:rPr>
          <w:rFonts w:ascii="Calibri" w:eastAsia="Times" w:hAnsi="Calibri" w:cs="Calibri"/>
          <w:bCs/>
          <w:sz w:val="24"/>
          <w:szCs w:val="24"/>
          <w:lang w:val="en-AU"/>
        </w:rPr>
        <w:t xml:space="preserve">The Tribunal could be inundated with charges and </w:t>
      </w:r>
      <w:r w:rsidR="00C86586">
        <w:rPr>
          <w:rFonts w:ascii="Calibri" w:eastAsia="Times" w:hAnsi="Calibri" w:cs="Calibri"/>
          <w:bCs/>
          <w:sz w:val="24"/>
          <w:szCs w:val="24"/>
          <w:lang w:val="en-AU"/>
        </w:rPr>
        <w:t>t</w:t>
      </w:r>
      <w:r w:rsidR="001F32CE">
        <w:rPr>
          <w:rFonts w:ascii="Calibri" w:eastAsia="Times" w:hAnsi="Calibri" w:cs="Calibri"/>
          <w:bCs/>
          <w:sz w:val="24"/>
          <w:szCs w:val="24"/>
          <w:lang w:val="en-AU"/>
        </w:rPr>
        <w:t>hat</w:t>
      </w:r>
      <w:r w:rsidR="00C86586">
        <w:rPr>
          <w:rFonts w:ascii="Calibri" w:eastAsia="Times" w:hAnsi="Calibri" w:cs="Calibri"/>
          <w:bCs/>
          <w:sz w:val="24"/>
          <w:szCs w:val="24"/>
          <w:lang w:val="en-AU"/>
        </w:rPr>
        <w:t xml:space="preserve"> </w:t>
      </w:r>
      <w:r w:rsidR="001F32CE">
        <w:rPr>
          <w:rFonts w:ascii="Calibri" w:eastAsia="Times" w:hAnsi="Calibri" w:cs="Calibri"/>
          <w:bCs/>
          <w:sz w:val="24"/>
          <w:szCs w:val="24"/>
          <w:lang w:val="en-AU"/>
        </w:rPr>
        <w:t>w</w:t>
      </w:r>
      <w:r w:rsidR="00C86586">
        <w:rPr>
          <w:rFonts w:ascii="Calibri" w:eastAsia="Times" w:hAnsi="Calibri" w:cs="Calibri"/>
          <w:bCs/>
          <w:sz w:val="24"/>
          <w:szCs w:val="24"/>
          <w:lang w:val="en-AU"/>
        </w:rPr>
        <w:t>ould lead t</w:t>
      </w:r>
      <w:r w:rsidR="00F37460">
        <w:rPr>
          <w:rFonts w:ascii="Calibri" w:eastAsia="Times" w:hAnsi="Calibri" w:cs="Calibri"/>
          <w:bCs/>
          <w:sz w:val="24"/>
          <w:szCs w:val="24"/>
          <w:lang w:val="en-AU"/>
        </w:rPr>
        <w:t>o</w:t>
      </w:r>
      <w:r w:rsidR="00644985">
        <w:rPr>
          <w:rFonts w:ascii="Calibri" w:eastAsia="Times" w:hAnsi="Calibri" w:cs="Calibri"/>
          <w:bCs/>
          <w:sz w:val="24"/>
          <w:szCs w:val="24"/>
          <w:lang w:val="en-AU"/>
        </w:rPr>
        <w:t xml:space="preserve"> difficulties </w:t>
      </w:r>
      <w:r w:rsidR="001F32CE">
        <w:rPr>
          <w:rFonts w:ascii="Calibri" w:eastAsia="Times" w:hAnsi="Calibri" w:cs="Calibri"/>
          <w:bCs/>
          <w:sz w:val="24"/>
          <w:szCs w:val="24"/>
          <w:lang w:val="en-AU"/>
        </w:rPr>
        <w:t xml:space="preserve">for the Tribunal associated </w:t>
      </w:r>
      <w:r w:rsidR="00644985">
        <w:rPr>
          <w:rFonts w:ascii="Calibri" w:eastAsia="Times" w:hAnsi="Calibri" w:cs="Calibri"/>
          <w:bCs/>
          <w:sz w:val="24"/>
          <w:szCs w:val="24"/>
          <w:lang w:val="en-AU"/>
        </w:rPr>
        <w:t>with</w:t>
      </w:r>
      <w:r w:rsidR="00F37460">
        <w:rPr>
          <w:rFonts w:ascii="Calibri" w:eastAsia="Times" w:hAnsi="Calibri" w:cs="Calibri"/>
          <w:bCs/>
          <w:sz w:val="24"/>
          <w:szCs w:val="24"/>
          <w:lang w:val="en-AU"/>
        </w:rPr>
        <w:t xml:space="preserve"> having to</w:t>
      </w:r>
      <w:r w:rsidR="00644985">
        <w:rPr>
          <w:rFonts w:ascii="Calibri" w:eastAsia="Times" w:hAnsi="Calibri" w:cs="Calibri"/>
          <w:bCs/>
          <w:sz w:val="24"/>
          <w:szCs w:val="24"/>
          <w:lang w:val="en-AU"/>
        </w:rPr>
        <w:t xml:space="preserve"> ensu</w:t>
      </w:r>
      <w:r w:rsidR="00F37460">
        <w:rPr>
          <w:rFonts w:ascii="Calibri" w:eastAsia="Times" w:hAnsi="Calibri" w:cs="Calibri"/>
          <w:bCs/>
          <w:sz w:val="24"/>
          <w:szCs w:val="24"/>
          <w:lang w:val="en-AU"/>
        </w:rPr>
        <w:t>re</w:t>
      </w:r>
      <w:r w:rsidR="00644985">
        <w:rPr>
          <w:rFonts w:ascii="Calibri" w:eastAsia="Times" w:hAnsi="Calibri" w:cs="Calibri"/>
          <w:bCs/>
          <w:sz w:val="24"/>
          <w:szCs w:val="24"/>
          <w:lang w:val="en-AU"/>
        </w:rPr>
        <w:t xml:space="preserve"> fairness to all parties to such proceedings</w:t>
      </w:r>
      <w:r w:rsidR="00452372">
        <w:rPr>
          <w:rFonts w:ascii="Calibri" w:eastAsia="Times" w:hAnsi="Calibri" w:cs="Calibri"/>
          <w:bCs/>
          <w:sz w:val="24"/>
          <w:szCs w:val="24"/>
          <w:lang w:val="en-AU"/>
        </w:rPr>
        <w:t>, as well as resourcing issues for the Tribunal</w:t>
      </w:r>
      <w:r w:rsidR="00B45D84">
        <w:rPr>
          <w:rFonts w:ascii="Calibri" w:eastAsia="Times" w:hAnsi="Calibri" w:cs="Calibri"/>
          <w:bCs/>
          <w:sz w:val="24"/>
          <w:szCs w:val="24"/>
          <w:lang w:val="en-AU"/>
        </w:rPr>
        <w:t>.</w:t>
      </w:r>
    </w:p>
    <w:p w14:paraId="3CAF006A" w14:textId="535C2E9F" w:rsidR="00217C8D" w:rsidRDefault="004A300F" w:rsidP="00217C8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Tribunal understands that </w:t>
      </w:r>
      <w:r w:rsidR="00D55A8D">
        <w:rPr>
          <w:rFonts w:ascii="Calibri" w:eastAsia="Times" w:hAnsi="Calibri" w:cs="Calibri"/>
          <w:bCs/>
          <w:sz w:val="24"/>
          <w:szCs w:val="24"/>
          <w:lang w:val="en-AU"/>
        </w:rPr>
        <w:t xml:space="preserve">since the mid-2000’s </w:t>
      </w:r>
      <w:r w:rsidR="007A7212">
        <w:rPr>
          <w:rFonts w:ascii="Calibri" w:eastAsia="Times" w:hAnsi="Calibri" w:cs="Calibri"/>
          <w:bCs/>
          <w:sz w:val="24"/>
          <w:szCs w:val="24"/>
          <w:lang w:val="en-AU"/>
        </w:rPr>
        <w:t>entities like C</w:t>
      </w:r>
      <w:r w:rsidR="004964B0">
        <w:rPr>
          <w:rFonts w:ascii="Calibri" w:eastAsia="Times" w:hAnsi="Calibri" w:cs="Calibri"/>
          <w:bCs/>
          <w:sz w:val="24"/>
          <w:szCs w:val="24"/>
          <w:lang w:val="en-AU"/>
        </w:rPr>
        <w:t xml:space="preserve">hild </w:t>
      </w:r>
      <w:r w:rsidR="007A7212">
        <w:rPr>
          <w:rFonts w:ascii="Calibri" w:eastAsia="Times" w:hAnsi="Calibri" w:cs="Calibri"/>
          <w:bCs/>
          <w:sz w:val="24"/>
          <w:szCs w:val="24"/>
          <w:lang w:val="en-AU"/>
        </w:rPr>
        <w:t>Y</w:t>
      </w:r>
      <w:r w:rsidR="004964B0">
        <w:rPr>
          <w:rFonts w:ascii="Calibri" w:eastAsia="Times" w:hAnsi="Calibri" w:cs="Calibri"/>
          <w:bCs/>
          <w:sz w:val="24"/>
          <w:szCs w:val="24"/>
          <w:lang w:val="en-AU"/>
        </w:rPr>
        <w:t>outh and Family</w:t>
      </w:r>
      <w:r w:rsidR="009B7EE6">
        <w:rPr>
          <w:rFonts w:ascii="Calibri" w:eastAsia="Times" w:hAnsi="Calibri" w:cs="Calibri"/>
          <w:bCs/>
          <w:sz w:val="24"/>
          <w:szCs w:val="24"/>
          <w:lang w:val="en-AU"/>
        </w:rPr>
        <w:t>/</w:t>
      </w:r>
      <w:r w:rsidR="007A7212">
        <w:rPr>
          <w:rFonts w:ascii="Calibri" w:eastAsia="Times" w:hAnsi="Calibri" w:cs="Calibri"/>
          <w:bCs/>
          <w:sz w:val="24"/>
          <w:szCs w:val="24"/>
          <w:lang w:val="en-AU"/>
        </w:rPr>
        <w:t xml:space="preserve">Oranga Tamariki and District Health Boards as employers have </w:t>
      </w:r>
      <w:r w:rsidR="001F7FE3">
        <w:rPr>
          <w:rFonts w:ascii="Calibri" w:eastAsia="Times" w:hAnsi="Calibri" w:cs="Calibri"/>
          <w:bCs/>
          <w:sz w:val="24"/>
          <w:szCs w:val="24"/>
          <w:lang w:val="en-AU"/>
        </w:rPr>
        <w:t>strongly encouraged their existing</w:t>
      </w:r>
      <w:r w:rsidR="007A7212">
        <w:rPr>
          <w:rFonts w:ascii="Calibri" w:eastAsia="Times" w:hAnsi="Calibri" w:cs="Calibri"/>
          <w:bCs/>
          <w:sz w:val="24"/>
          <w:szCs w:val="24"/>
          <w:lang w:val="en-AU"/>
        </w:rPr>
        <w:t xml:space="preserve"> social workers to be </w:t>
      </w:r>
      <w:r w:rsidR="007A7212" w:rsidRPr="009B7EE6">
        <w:rPr>
          <w:rFonts w:ascii="Calibri" w:eastAsia="Times" w:hAnsi="Calibri" w:cs="Calibri"/>
          <w:bCs/>
          <w:i/>
          <w:iCs/>
          <w:sz w:val="24"/>
          <w:szCs w:val="24"/>
          <w:lang w:val="en-AU"/>
        </w:rPr>
        <w:t>registered</w:t>
      </w:r>
      <w:r w:rsidR="007A7212">
        <w:rPr>
          <w:rFonts w:ascii="Calibri" w:eastAsia="Times" w:hAnsi="Calibri" w:cs="Calibri"/>
          <w:bCs/>
          <w:sz w:val="24"/>
          <w:szCs w:val="24"/>
          <w:lang w:val="en-AU"/>
        </w:rPr>
        <w:t xml:space="preserve"> social workers </w:t>
      </w:r>
      <w:r w:rsidR="00910A83">
        <w:rPr>
          <w:rFonts w:ascii="Calibri" w:eastAsia="Times" w:hAnsi="Calibri" w:cs="Calibri"/>
          <w:bCs/>
          <w:sz w:val="24"/>
          <w:szCs w:val="24"/>
          <w:lang w:val="en-AU"/>
        </w:rPr>
        <w:t xml:space="preserve">and some entities require employed social workers to be registered </w:t>
      </w:r>
      <w:r w:rsidR="007A7212">
        <w:rPr>
          <w:rFonts w:ascii="Calibri" w:eastAsia="Times" w:hAnsi="Calibri" w:cs="Calibri"/>
          <w:bCs/>
          <w:sz w:val="24"/>
          <w:szCs w:val="24"/>
          <w:lang w:val="en-AU"/>
        </w:rPr>
        <w:t xml:space="preserve">as a condition of their employment. </w:t>
      </w:r>
      <w:r w:rsidR="00E40CFC">
        <w:rPr>
          <w:rFonts w:ascii="Calibri" w:eastAsia="Times" w:hAnsi="Calibri" w:cs="Calibri"/>
          <w:bCs/>
          <w:sz w:val="24"/>
          <w:szCs w:val="24"/>
          <w:lang w:val="en-AU"/>
        </w:rPr>
        <w:t xml:space="preserve">The Tribunal does not consider that </w:t>
      </w:r>
      <w:r w:rsidR="00A441F5">
        <w:rPr>
          <w:rFonts w:ascii="Calibri" w:eastAsia="Times" w:hAnsi="Calibri" w:cs="Calibri"/>
          <w:bCs/>
          <w:sz w:val="24"/>
          <w:szCs w:val="24"/>
          <w:lang w:val="en-AU"/>
        </w:rPr>
        <w:t xml:space="preserve">it </w:t>
      </w:r>
      <w:r w:rsidR="00E40CFC">
        <w:rPr>
          <w:rFonts w:ascii="Calibri" w:eastAsia="Times" w:hAnsi="Calibri" w:cs="Calibri"/>
          <w:bCs/>
          <w:sz w:val="24"/>
          <w:szCs w:val="24"/>
          <w:lang w:val="en-AU"/>
        </w:rPr>
        <w:t>can have been</w:t>
      </w:r>
      <w:r w:rsidR="00A441F5">
        <w:rPr>
          <w:rFonts w:ascii="Calibri" w:eastAsia="Times" w:hAnsi="Calibri" w:cs="Calibri"/>
          <w:bCs/>
          <w:sz w:val="24"/>
          <w:szCs w:val="24"/>
          <w:lang w:val="en-AU"/>
        </w:rPr>
        <w:t xml:space="preserve"> or was</w:t>
      </w:r>
      <w:r w:rsidR="00E40CFC">
        <w:rPr>
          <w:rFonts w:ascii="Calibri" w:eastAsia="Times" w:hAnsi="Calibri" w:cs="Calibri"/>
          <w:bCs/>
          <w:sz w:val="24"/>
          <w:szCs w:val="24"/>
          <w:lang w:val="en-AU"/>
        </w:rPr>
        <w:t xml:space="preserve"> Parliament’s intention when</w:t>
      </w:r>
      <w:r w:rsidR="00372D26">
        <w:rPr>
          <w:rFonts w:ascii="Calibri" w:eastAsia="Times" w:hAnsi="Calibri" w:cs="Calibri"/>
          <w:bCs/>
          <w:sz w:val="24"/>
          <w:szCs w:val="24"/>
          <w:lang w:val="en-AU"/>
        </w:rPr>
        <w:t xml:space="preserve"> enacting</w:t>
      </w:r>
      <w:r w:rsidR="00F26684">
        <w:rPr>
          <w:rFonts w:ascii="Calibri" w:eastAsia="Times" w:hAnsi="Calibri" w:cs="Calibri"/>
          <w:bCs/>
          <w:sz w:val="24"/>
          <w:szCs w:val="24"/>
          <w:lang w:val="en-AU"/>
        </w:rPr>
        <w:t xml:space="preserve"> the</w:t>
      </w:r>
      <w:r w:rsidR="00372D26">
        <w:rPr>
          <w:rFonts w:ascii="Calibri" w:eastAsia="Times" w:hAnsi="Calibri" w:cs="Calibri"/>
          <w:bCs/>
          <w:sz w:val="24"/>
          <w:szCs w:val="24"/>
          <w:lang w:val="en-AU"/>
        </w:rPr>
        <w:t xml:space="preserve"> </w:t>
      </w:r>
      <w:r w:rsidR="004F3F1E">
        <w:rPr>
          <w:rFonts w:ascii="Calibri" w:eastAsia="Times" w:hAnsi="Calibri" w:cs="Calibri"/>
          <w:bCs/>
          <w:sz w:val="24"/>
          <w:szCs w:val="24"/>
          <w:lang w:val="en-AU"/>
        </w:rPr>
        <w:t>amendments to</w:t>
      </w:r>
      <w:r w:rsidR="00355CE8">
        <w:rPr>
          <w:rFonts w:ascii="Calibri" w:eastAsia="Times" w:hAnsi="Calibri" w:cs="Calibri"/>
          <w:bCs/>
          <w:sz w:val="24"/>
          <w:szCs w:val="24"/>
          <w:lang w:val="en-AU"/>
        </w:rPr>
        <w:t xml:space="preserve"> the legislation in February 2019</w:t>
      </w:r>
      <w:r w:rsidR="00FC5124">
        <w:rPr>
          <w:rFonts w:ascii="Calibri" w:eastAsia="Times" w:hAnsi="Calibri" w:cs="Calibri"/>
          <w:bCs/>
          <w:sz w:val="24"/>
          <w:szCs w:val="24"/>
          <w:lang w:val="en-AU"/>
        </w:rPr>
        <w:t xml:space="preserve"> and introducing mandatory registration</w:t>
      </w:r>
      <w:r w:rsidR="00A441F5">
        <w:rPr>
          <w:rFonts w:ascii="Calibri" w:eastAsia="Times" w:hAnsi="Calibri" w:cs="Calibri"/>
          <w:bCs/>
          <w:sz w:val="24"/>
          <w:szCs w:val="24"/>
          <w:lang w:val="en-AU"/>
        </w:rPr>
        <w:t>, to confer power on the Tribunal to discipline those social workers</w:t>
      </w:r>
      <w:r w:rsidR="00C47E60">
        <w:rPr>
          <w:rFonts w:ascii="Calibri" w:eastAsia="Times" w:hAnsi="Calibri" w:cs="Calibri"/>
          <w:bCs/>
          <w:sz w:val="24"/>
          <w:szCs w:val="24"/>
          <w:lang w:val="en-AU"/>
        </w:rPr>
        <w:t xml:space="preserve"> who did not register</w:t>
      </w:r>
      <w:r w:rsidR="00A441F5">
        <w:rPr>
          <w:rFonts w:ascii="Calibri" w:eastAsia="Times" w:hAnsi="Calibri" w:cs="Calibri"/>
          <w:bCs/>
          <w:sz w:val="24"/>
          <w:szCs w:val="24"/>
          <w:lang w:val="en-AU"/>
        </w:rPr>
        <w:t xml:space="preserve"> for conduct committed (or omitted) when the</w:t>
      </w:r>
      <w:r w:rsidR="00F26684">
        <w:rPr>
          <w:rFonts w:ascii="Calibri" w:eastAsia="Times" w:hAnsi="Calibri" w:cs="Calibri"/>
          <w:bCs/>
          <w:sz w:val="24"/>
          <w:szCs w:val="24"/>
          <w:lang w:val="en-AU"/>
        </w:rPr>
        <w:t>y</w:t>
      </w:r>
      <w:r w:rsidR="00A441F5">
        <w:rPr>
          <w:rFonts w:ascii="Calibri" w:eastAsia="Times" w:hAnsi="Calibri" w:cs="Calibri"/>
          <w:bCs/>
          <w:sz w:val="24"/>
          <w:szCs w:val="24"/>
          <w:lang w:val="en-AU"/>
        </w:rPr>
        <w:t xml:space="preserve"> </w:t>
      </w:r>
      <w:r w:rsidR="00C83BC1">
        <w:rPr>
          <w:rFonts w:ascii="Calibri" w:eastAsia="Times" w:hAnsi="Calibri" w:cs="Calibri"/>
          <w:bCs/>
          <w:sz w:val="24"/>
          <w:szCs w:val="24"/>
          <w:lang w:val="en-AU"/>
        </w:rPr>
        <w:t>were employed</w:t>
      </w:r>
      <w:r w:rsidR="00EB488A">
        <w:rPr>
          <w:rFonts w:ascii="Calibri" w:eastAsia="Times" w:hAnsi="Calibri" w:cs="Calibri"/>
          <w:bCs/>
          <w:sz w:val="24"/>
          <w:szCs w:val="24"/>
          <w:lang w:val="en-AU"/>
        </w:rPr>
        <w:t xml:space="preserve"> </w:t>
      </w:r>
      <w:r w:rsidR="006577AC">
        <w:rPr>
          <w:rFonts w:ascii="Calibri" w:eastAsia="Times" w:hAnsi="Calibri" w:cs="Calibri"/>
          <w:bCs/>
          <w:sz w:val="24"/>
          <w:szCs w:val="24"/>
          <w:lang w:val="en-AU"/>
        </w:rPr>
        <w:t>and/or worked as social workers on an un</w:t>
      </w:r>
      <w:r w:rsidR="00A441F5">
        <w:rPr>
          <w:rFonts w:ascii="Calibri" w:eastAsia="Times" w:hAnsi="Calibri" w:cs="Calibri"/>
          <w:bCs/>
          <w:sz w:val="24"/>
          <w:szCs w:val="24"/>
          <w:lang w:val="en-AU"/>
        </w:rPr>
        <w:t>registered</w:t>
      </w:r>
      <w:r w:rsidR="006577AC">
        <w:rPr>
          <w:rFonts w:ascii="Calibri" w:eastAsia="Times" w:hAnsi="Calibri" w:cs="Calibri"/>
          <w:bCs/>
          <w:sz w:val="24"/>
          <w:szCs w:val="24"/>
          <w:lang w:val="en-AU"/>
        </w:rPr>
        <w:t xml:space="preserve"> basis</w:t>
      </w:r>
      <w:r w:rsidR="00A441F5">
        <w:rPr>
          <w:rFonts w:ascii="Calibri" w:eastAsia="Times" w:hAnsi="Calibri" w:cs="Calibri"/>
          <w:bCs/>
          <w:sz w:val="24"/>
          <w:szCs w:val="24"/>
          <w:lang w:val="en-AU"/>
        </w:rPr>
        <w:t>.</w:t>
      </w:r>
    </w:p>
    <w:p w14:paraId="5D1D0406" w14:textId="4CBCEEAE" w:rsidR="00F26138" w:rsidRDefault="00F26138" w:rsidP="00217C8D">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It </w:t>
      </w:r>
      <w:r w:rsidR="004964B0">
        <w:rPr>
          <w:rFonts w:ascii="Calibri" w:eastAsia="Times" w:hAnsi="Calibri" w:cs="Calibri"/>
          <w:bCs/>
          <w:sz w:val="24"/>
          <w:szCs w:val="24"/>
          <w:lang w:val="en-AU"/>
        </w:rPr>
        <w:t xml:space="preserve">is </w:t>
      </w:r>
      <w:r>
        <w:rPr>
          <w:rFonts w:ascii="Calibri" w:eastAsia="Times" w:hAnsi="Calibri" w:cs="Calibri"/>
          <w:bCs/>
          <w:sz w:val="24"/>
          <w:szCs w:val="24"/>
          <w:lang w:val="en-AU"/>
        </w:rPr>
        <w:t xml:space="preserve">for </w:t>
      </w:r>
      <w:r w:rsidR="00114F80">
        <w:rPr>
          <w:rFonts w:ascii="Calibri" w:eastAsia="Times" w:hAnsi="Calibri" w:cs="Calibri"/>
          <w:bCs/>
          <w:sz w:val="24"/>
          <w:szCs w:val="24"/>
          <w:lang w:val="en-AU"/>
        </w:rPr>
        <w:t xml:space="preserve">all </w:t>
      </w:r>
      <w:r>
        <w:rPr>
          <w:rFonts w:ascii="Calibri" w:eastAsia="Times" w:hAnsi="Calibri" w:cs="Calibri"/>
          <w:bCs/>
          <w:sz w:val="24"/>
          <w:szCs w:val="24"/>
          <w:lang w:val="en-AU"/>
        </w:rPr>
        <w:t>th</w:t>
      </w:r>
      <w:r w:rsidR="004964B0">
        <w:rPr>
          <w:rFonts w:ascii="Calibri" w:eastAsia="Times" w:hAnsi="Calibri" w:cs="Calibri"/>
          <w:bCs/>
          <w:sz w:val="24"/>
          <w:szCs w:val="24"/>
          <w:lang w:val="en-AU"/>
        </w:rPr>
        <w:t>e</w:t>
      </w:r>
      <w:r>
        <w:rPr>
          <w:rFonts w:ascii="Calibri" w:eastAsia="Times" w:hAnsi="Calibri" w:cs="Calibri"/>
          <w:bCs/>
          <w:sz w:val="24"/>
          <w:szCs w:val="24"/>
          <w:lang w:val="en-AU"/>
        </w:rPr>
        <w:t xml:space="preserve">se reasons </w:t>
      </w:r>
      <w:r w:rsidR="00114F80">
        <w:rPr>
          <w:rFonts w:ascii="Calibri" w:eastAsia="Times" w:hAnsi="Calibri" w:cs="Calibri"/>
          <w:bCs/>
          <w:sz w:val="24"/>
          <w:szCs w:val="24"/>
          <w:lang w:val="en-AU"/>
        </w:rPr>
        <w:t xml:space="preserve">that </w:t>
      </w:r>
      <w:r>
        <w:rPr>
          <w:rFonts w:ascii="Calibri" w:eastAsia="Times" w:hAnsi="Calibri" w:cs="Calibri"/>
          <w:bCs/>
          <w:sz w:val="24"/>
          <w:szCs w:val="24"/>
          <w:lang w:val="en-AU"/>
        </w:rPr>
        <w:t xml:space="preserve">the Tribunal </w:t>
      </w:r>
      <w:r w:rsidR="00331798">
        <w:rPr>
          <w:rFonts w:ascii="Calibri" w:eastAsia="Times" w:hAnsi="Calibri" w:cs="Calibri"/>
          <w:bCs/>
          <w:sz w:val="24"/>
          <w:szCs w:val="24"/>
          <w:lang w:val="en-AU"/>
        </w:rPr>
        <w:t xml:space="preserve">considers that </w:t>
      </w:r>
      <w:r>
        <w:rPr>
          <w:rFonts w:ascii="Calibri" w:eastAsia="Times" w:hAnsi="Calibri" w:cs="Calibri"/>
          <w:bCs/>
          <w:sz w:val="24"/>
          <w:szCs w:val="24"/>
          <w:lang w:val="en-AU"/>
        </w:rPr>
        <w:t>it lacks jurisdiction</w:t>
      </w:r>
      <w:r w:rsidR="00114F80">
        <w:rPr>
          <w:rFonts w:ascii="Calibri" w:eastAsia="Times" w:hAnsi="Calibri" w:cs="Calibri"/>
          <w:bCs/>
          <w:sz w:val="24"/>
          <w:szCs w:val="24"/>
          <w:lang w:val="en-AU"/>
        </w:rPr>
        <w:t xml:space="preserve"> to hear the charge in this case.</w:t>
      </w:r>
    </w:p>
    <w:p w14:paraId="38543F9D" w14:textId="18D5E8A3" w:rsidR="00284525" w:rsidRDefault="005C20D6" w:rsidP="006928C8">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 xml:space="preserve">The Tribunal notes that in cases where the conduct charged is alleged to have occurred prior to registration and carried forward from that period when </w:t>
      </w:r>
      <w:r w:rsidR="00331798">
        <w:rPr>
          <w:rFonts w:ascii="Calibri" w:eastAsia="Times" w:hAnsi="Calibri" w:cs="Calibri"/>
          <w:bCs/>
          <w:sz w:val="24"/>
          <w:szCs w:val="24"/>
          <w:lang w:val="en-AU"/>
        </w:rPr>
        <w:t>t</w:t>
      </w:r>
      <w:r>
        <w:rPr>
          <w:rFonts w:ascii="Calibri" w:eastAsia="Times" w:hAnsi="Calibri" w:cs="Calibri"/>
          <w:bCs/>
          <w:sz w:val="24"/>
          <w:szCs w:val="24"/>
          <w:lang w:val="en-AU"/>
        </w:rPr>
        <w:t xml:space="preserve">he </w:t>
      </w:r>
      <w:r w:rsidR="00331798">
        <w:rPr>
          <w:rFonts w:ascii="Calibri" w:eastAsia="Times" w:hAnsi="Calibri" w:cs="Calibri"/>
          <w:bCs/>
          <w:sz w:val="24"/>
          <w:szCs w:val="24"/>
          <w:lang w:val="en-AU"/>
        </w:rPr>
        <w:t xml:space="preserve">social worker </w:t>
      </w:r>
      <w:r>
        <w:rPr>
          <w:rFonts w:ascii="Calibri" w:eastAsia="Times" w:hAnsi="Calibri" w:cs="Calibri"/>
          <w:bCs/>
          <w:sz w:val="24"/>
          <w:szCs w:val="24"/>
          <w:lang w:val="en-AU"/>
        </w:rPr>
        <w:t xml:space="preserve"> was not registered into the period when he or she</w:t>
      </w:r>
      <w:r w:rsidR="006928C8">
        <w:rPr>
          <w:rFonts w:ascii="Calibri" w:eastAsia="Times" w:hAnsi="Calibri" w:cs="Calibri"/>
          <w:bCs/>
          <w:sz w:val="24"/>
          <w:szCs w:val="24"/>
          <w:lang w:val="en-AU"/>
        </w:rPr>
        <w:t xml:space="preserve"> or they</w:t>
      </w:r>
      <w:r>
        <w:rPr>
          <w:rFonts w:ascii="Calibri" w:eastAsia="Times" w:hAnsi="Calibri" w:cs="Calibri"/>
          <w:bCs/>
          <w:sz w:val="24"/>
          <w:szCs w:val="24"/>
          <w:lang w:val="en-AU"/>
        </w:rPr>
        <w:t xml:space="preserve"> </w:t>
      </w:r>
      <w:r w:rsidR="001A2790">
        <w:rPr>
          <w:rFonts w:ascii="Calibri" w:eastAsia="Times" w:hAnsi="Calibri" w:cs="Calibri"/>
          <w:bCs/>
          <w:sz w:val="24"/>
          <w:szCs w:val="24"/>
          <w:lang w:val="en-AU"/>
        </w:rPr>
        <w:t>became</w:t>
      </w:r>
      <w:r>
        <w:rPr>
          <w:rFonts w:ascii="Calibri" w:eastAsia="Times" w:hAnsi="Calibri" w:cs="Calibri"/>
          <w:bCs/>
          <w:sz w:val="24"/>
          <w:szCs w:val="24"/>
          <w:lang w:val="en-AU"/>
        </w:rPr>
        <w:t xml:space="preserve"> registered (for example, </w:t>
      </w:r>
      <w:r>
        <w:rPr>
          <w:rFonts w:ascii="Calibri" w:eastAsia="Times" w:hAnsi="Calibri" w:cs="Calibri"/>
          <w:bCs/>
          <w:sz w:val="24"/>
          <w:szCs w:val="24"/>
          <w:lang w:val="en-AU"/>
        </w:rPr>
        <w:lastRenderedPageBreak/>
        <w:t>an inappropriate relationship between a social worker and a client that commenced prior to registration and continued into the period when the social worker was registered)</w:t>
      </w:r>
      <w:r w:rsidR="00527A34">
        <w:rPr>
          <w:rFonts w:ascii="Calibri" w:eastAsia="Times" w:hAnsi="Calibri" w:cs="Calibri"/>
          <w:bCs/>
          <w:sz w:val="24"/>
          <w:szCs w:val="24"/>
          <w:lang w:val="en-AU"/>
        </w:rPr>
        <w:t>,</w:t>
      </w:r>
      <w:r>
        <w:rPr>
          <w:rFonts w:ascii="Calibri" w:eastAsia="Times" w:hAnsi="Calibri" w:cs="Calibri"/>
          <w:bCs/>
          <w:sz w:val="24"/>
          <w:szCs w:val="24"/>
          <w:lang w:val="en-AU"/>
        </w:rPr>
        <w:t xml:space="preserve"> </w:t>
      </w:r>
      <w:r w:rsidR="00452372">
        <w:rPr>
          <w:rFonts w:ascii="Calibri" w:eastAsia="Times" w:hAnsi="Calibri" w:cs="Calibri"/>
          <w:bCs/>
          <w:sz w:val="24"/>
          <w:szCs w:val="24"/>
          <w:lang w:val="en-AU"/>
        </w:rPr>
        <w:t xml:space="preserve">such </w:t>
      </w:r>
      <w:r>
        <w:rPr>
          <w:rFonts w:ascii="Calibri" w:eastAsia="Times" w:hAnsi="Calibri" w:cs="Calibri"/>
          <w:bCs/>
          <w:sz w:val="24"/>
          <w:szCs w:val="24"/>
          <w:lang w:val="en-AU"/>
        </w:rPr>
        <w:t>conduct may be within reach of the Tribunal’s jurisdiction</w:t>
      </w:r>
      <w:r w:rsidR="00527A34">
        <w:rPr>
          <w:rStyle w:val="FootnoteReference"/>
          <w:rFonts w:ascii="Calibri" w:eastAsia="Times" w:hAnsi="Calibri" w:cs="Calibri"/>
          <w:bCs/>
          <w:sz w:val="24"/>
          <w:szCs w:val="24"/>
          <w:lang w:val="en-AU"/>
        </w:rPr>
        <w:footnoteReference w:id="31"/>
      </w:r>
      <w:r>
        <w:rPr>
          <w:rFonts w:ascii="Calibri" w:eastAsia="Times" w:hAnsi="Calibri" w:cs="Calibri"/>
          <w:bCs/>
          <w:sz w:val="24"/>
          <w:szCs w:val="24"/>
          <w:lang w:val="en-AU"/>
        </w:rPr>
        <w:t xml:space="preserve">. But the Tribunal does not need to </w:t>
      </w:r>
      <w:r w:rsidR="00452372">
        <w:rPr>
          <w:rFonts w:ascii="Calibri" w:eastAsia="Times" w:hAnsi="Calibri" w:cs="Calibri"/>
          <w:bCs/>
          <w:sz w:val="24"/>
          <w:szCs w:val="24"/>
          <w:lang w:val="en-AU"/>
        </w:rPr>
        <w:t>be concerned with that issue</w:t>
      </w:r>
      <w:r>
        <w:rPr>
          <w:rFonts w:ascii="Calibri" w:eastAsia="Times" w:hAnsi="Calibri" w:cs="Calibri"/>
          <w:bCs/>
          <w:sz w:val="24"/>
          <w:szCs w:val="24"/>
          <w:lang w:val="en-AU"/>
        </w:rPr>
        <w:t xml:space="preserve"> here as the conduct charged in this case is alleged to have occurred entirely and exclusively prior to the practitioner’s registration. </w:t>
      </w:r>
    </w:p>
    <w:p w14:paraId="614A78E0" w14:textId="77777777" w:rsidR="003468D9" w:rsidRDefault="003468D9" w:rsidP="003468D9">
      <w:pPr>
        <w:tabs>
          <w:tab w:val="left" w:pos="567"/>
        </w:tabs>
        <w:spacing w:after="0" w:line="360" w:lineRule="auto"/>
        <w:ind w:left="567"/>
        <w:jc w:val="both"/>
        <w:rPr>
          <w:rFonts w:ascii="Calibri" w:eastAsia="Times" w:hAnsi="Calibri" w:cs="Calibri"/>
          <w:bCs/>
          <w:sz w:val="24"/>
          <w:szCs w:val="24"/>
          <w:lang w:val="en-AU"/>
        </w:rPr>
      </w:pPr>
    </w:p>
    <w:p w14:paraId="5940337F" w14:textId="08261730" w:rsidR="0062028D" w:rsidRPr="0077252B" w:rsidRDefault="0062028D" w:rsidP="0062028D">
      <w:pPr>
        <w:tabs>
          <w:tab w:val="left" w:pos="567"/>
        </w:tabs>
        <w:spacing w:after="0" w:line="360" w:lineRule="auto"/>
        <w:jc w:val="both"/>
        <w:rPr>
          <w:rFonts w:ascii="Calibri" w:eastAsia="Times" w:hAnsi="Calibri" w:cs="Calibri"/>
          <w:b/>
          <w:sz w:val="24"/>
          <w:szCs w:val="24"/>
          <w:lang w:val="en-AU"/>
        </w:rPr>
      </w:pPr>
      <w:r w:rsidRPr="0077252B">
        <w:rPr>
          <w:rFonts w:ascii="Calibri" w:eastAsia="Times" w:hAnsi="Calibri" w:cs="Calibri"/>
          <w:b/>
          <w:sz w:val="24"/>
          <w:szCs w:val="24"/>
          <w:lang w:val="en-AU"/>
        </w:rPr>
        <w:t>Summary</w:t>
      </w:r>
    </w:p>
    <w:p w14:paraId="4C8B6DC4" w14:textId="1CE51877" w:rsidR="0077252B" w:rsidRPr="00495734" w:rsidRDefault="0062028D" w:rsidP="0096026C">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The disciplinary provisions of the Act are not intended to have retrospective effect. A person is not liable for disciplinary sanction</w:t>
      </w:r>
      <w:r w:rsidR="00381655">
        <w:rPr>
          <w:rFonts w:ascii="Calibri" w:eastAsia="Times" w:hAnsi="Calibri" w:cs="Calibri"/>
          <w:bCs/>
          <w:sz w:val="24"/>
          <w:szCs w:val="24"/>
          <w:lang w:val="en-AU"/>
        </w:rPr>
        <w:t xml:space="preserve"> by the Tribunal</w:t>
      </w:r>
      <w:r>
        <w:rPr>
          <w:rFonts w:ascii="Calibri" w:eastAsia="Times" w:hAnsi="Calibri" w:cs="Calibri"/>
          <w:bCs/>
          <w:sz w:val="24"/>
          <w:szCs w:val="24"/>
          <w:lang w:val="en-AU"/>
        </w:rPr>
        <w:t xml:space="preserve"> </w:t>
      </w:r>
      <w:r w:rsidR="005C4F17">
        <w:rPr>
          <w:rFonts w:ascii="Calibri" w:eastAsia="Times" w:hAnsi="Calibri" w:cs="Calibri"/>
          <w:bCs/>
          <w:sz w:val="24"/>
          <w:szCs w:val="24"/>
          <w:lang w:val="en-AU"/>
        </w:rPr>
        <w:t xml:space="preserve">under section 82(1)(a) or (b) of the SWR Act </w:t>
      </w:r>
      <w:r>
        <w:rPr>
          <w:rFonts w:ascii="Calibri" w:eastAsia="Times" w:hAnsi="Calibri" w:cs="Calibri"/>
          <w:bCs/>
          <w:sz w:val="24"/>
          <w:szCs w:val="24"/>
          <w:lang w:val="en-AU"/>
        </w:rPr>
        <w:t xml:space="preserve">for conduct that occurred entirely and exclusively before they registered with the Board. The Act came into force in 2003/2004, with mandatory registration taking effect in February 2021. It is not the role of the Tribunal to enforce disciplinary </w:t>
      </w:r>
      <w:r w:rsidR="00613BC1">
        <w:rPr>
          <w:rFonts w:ascii="Calibri" w:eastAsia="Times" w:hAnsi="Calibri" w:cs="Calibri"/>
          <w:bCs/>
          <w:sz w:val="24"/>
          <w:szCs w:val="24"/>
          <w:lang w:val="en-AU"/>
        </w:rPr>
        <w:t>findings</w:t>
      </w:r>
      <w:r w:rsidR="00A470CF">
        <w:rPr>
          <w:rFonts w:ascii="Calibri" w:eastAsia="Times" w:hAnsi="Calibri" w:cs="Calibri"/>
          <w:bCs/>
          <w:sz w:val="24"/>
          <w:szCs w:val="24"/>
          <w:lang w:val="en-AU"/>
        </w:rPr>
        <w:t xml:space="preserve"> against practitioners</w:t>
      </w:r>
      <w:r w:rsidR="00613BC1">
        <w:rPr>
          <w:rFonts w:ascii="Calibri" w:eastAsia="Times" w:hAnsi="Calibri" w:cs="Calibri"/>
          <w:bCs/>
          <w:sz w:val="24"/>
          <w:szCs w:val="24"/>
          <w:lang w:val="en-AU"/>
        </w:rPr>
        <w:t>, under</w:t>
      </w:r>
      <w:r w:rsidR="005A47D9">
        <w:rPr>
          <w:rFonts w:ascii="Calibri" w:eastAsia="Times" w:hAnsi="Calibri" w:cs="Calibri"/>
          <w:bCs/>
          <w:sz w:val="24"/>
          <w:szCs w:val="24"/>
          <w:lang w:val="en-AU"/>
        </w:rPr>
        <w:t xml:space="preserve"> those provisions</w:t>
      </w:r>
      <w:r w:rsidR="00613BC1">
        <w:rPr>
          <w:rFonts w:ascii="Calibri" w:eastAsia="Times" w:hAnsi="Calibri" w:cs="Calibri"/>
          <w:bCs/>
          <w:sz w:val="24"/>
          <w:szCs w:val="24"/>
          <w:lang w:val="en-AU"/>
        </w:rPr>
        <w:t>,</w:t>
      </w:r>
      <w:r w:rsidR="005A47D9">
        <w:rPr>
          <w:rFonts w:ascii="Calibri" w:eastAsia="Times" w:hAnsi="Calibri" w:cs="Calibri"/>
          <w:bCs/>
          <w:sz w:val="24"/>
          <w:szCs w:val="24"/>
          <w:lang w:val="en-AU"/>
        </w:rPr>
        <w:t xml:space="preserve"> </w:t>
      </w:r>
      <w:r>
        <w:rPr>
          <w:rFonts w:ascii="Calibri" w:eastAsia="Times" w:hAnsi="Calibri" w:cs="Calibri"/>
          <w:bCs/>
          <w:sz w:val="24"/>
          <w:szCs w:val="24"/>
          <w:lang w:val="en-AU"/>
        </w:rPr>
        <w:t>for conduct occurring during a period when they were, lawfully, practising social work without being registered to do so and were not bound by all that registration entails.</w:t>
      </w:r>
    </w:p>
    <w:p w14:paraId="321AAE5C" w14:textId="3650E11D" w:rsidR="0077252B" w:rsidRDefault="00D856C4" w:rsidP="0077252B">
      <w:pPr>
        <w:numPr>
          <w:ilvl w:val="0"/>
          <w:numId w:val="1"/>
        </w:numPr>
        <w:tabs>
          <w:tab w:val="left" w:pos="567"/>
        </w:tabs>
        <w:spacing w:after="0" w:line="360" w:lineRule="auto"/>
        <w:ind w:left="567" w:hanging="567"/>
        <w:jc w:val="both"/>
        <w:rPr>
          <w:rFonts w:ascii="Calibri" w:eastAsia="Times" w:hAnsi="Calibri" w:cs="Calibri"/>
          <w:bCs/>
          <w:sz w:val="24"/>
          <w:szCs w:val="24"/>
          <w:lang w:val="en-AU"/>
        </w:rPr>
      </w:pPr>
      <w:r>
        <w:rPr>
          <w:rFonts w:ascii="Calibri" w:eastAsia="Times" w:hAnsi="Calibri" w:cs="Calibri"/>
          <w:bCs/>
          <w:sz w:val="24"/>
          <w:szCs w:val="24"/>
          <w:lang w:val="en-AU"/>
        </w:rPr>
        <w:t>That</w:t>
      </w:r>
      <w:r w:rsidR="0077252B">
        <w:rPr>
          <w:rFonts w:ascii="Calibri" w:eastAsia="Times" w:hAnsi="Calibri" w:cs="Calibri"/>
          <w:bCs/>
          <w:sz w:val="24"/>
          <w:szCs w:val="24"/>
          <w:lang w:val="en-AU"/>
        </w:rPr>
        <w:t xml:space="preserve"> the Tribunal does not have jurisdiction over pre-registration conduct does not pose a risk to the protection of the public or the maintenance of professional standards. </w:t>
      </w:r>
      <w:r w:rsidR="0077252B" w:rsidRPr="0070572A">
        <w:rPr>
          <w:rFonts w:ascii="Calibri" w:eastAsia="Times" w:hAnsi="Calibri" w:cs="Calibri"/>
          <w:bCs/>
          <w:sz w:val="24"/>
          <w:szCs w:val="24"/>
          <w:lang w:val="en-AU"/>
        </w:rPr>
        <w:t>Th</w:t>
      </w:r>
      <w:r w:rsidR="0077252B">
        <w:rPr>
          <w:rFonts w:ascii="Calibri" w:eastAsia="Times" w:hAnsi="Calibri" w:cs="Calibri"/>
          <w:bCs/>
          <w:sz w:val="24"/>
          <w:szCs w:val="24"/>
          <w:lang w:val="en-AU"/>
        </w:rPr>
        <w:t>e Act provides adequate mechanisms to ensure the competence and fitness of social workers for conduct occurring before they register. Further,</w:t>
      </w:r>
      <w:r w:rsidR="0077252B" w:rsidRPr="0070572A">
        <w:rPr>
          <w:rFonts w:ascii="Calibri" w:eastAsia="Times" w:hAnsi="Calibri" w:cs="Calibri"/>
          <w:bCs/>
          <w:sz w:val="24"/>
          <w:szCs w:val="24"/>
          <w:lang w:val="en-AU"/>
        </w:rPr>
        <w:t xml:space="preserve"> the Act also provides for the prosecution of offences under the Act for conduct that may have arisen while a social worker was not registered.</w:t>
      </w:r>
    </w:p>
    <w:p w14:paraId="6A1994D2" w14:textId="77777777" w:rsidR="00463988" w:rsidRPr="00AE3A09" w:rsidRDefault="00463988" w:rsidP="00AC2A94">
      <w:pPr>
        <w:tabs>
          <w:tab w:val="left" w:pos="567"/>
        </w:tabs>
        <w:spacing w:after="0" w:line="360" w:lineRule="auto"/>
        <w:jc w:val="both"/>
        <w:rPr>
          <w:rFonts w:ascii="Calibri" w:eastAsia="Times" w:hAnsi="Calibri" w:cs="Calibri"/>
          <w:bCs/>
          <w:sz w:val="24"/>
          <w:szCs w:val="20"/>
          <w:lang w:val="en-AU"/>
        </w:rPr>
      </w:pPr>
    </w:p>
    <w:p w14:paraId="2BBC093A" w14:textId="1D9AD6F4" w:rsidR="000658FD" w:rsidRPr="00E54671" w:rsidRDefault="00FC016F" w:rsidP="00E54671">
      <w:pPr>
        <w:tabs>
          <w:tab w:val="left" w:pos="567"/>
        </w:tabs>
        <w:spacing w:after="0" w:line="360" w:lineRule="auto"/>
        <w:jc w:val="both"/>
        <w:rPr>
          <w:rFonts w:ascii="Calibri" w:eastAsia="Times" w:hAnsi="Calibri" w:cs="Calibri"/>
          <w:b/>
          <w:sz w:val="24"/>
          <w:szCs w:val="20"/>
          <w:lang w:val="en-AU"/>
        </w:rPr>
      </w:pPr>
      <w:r w:rsidRPr="00FC016F">
        <w:rPr>
          <w:rFonts w:ascii="Calibri" w:eastAsia="Times" w:hAnsi="Calibri" w:cs="Calibri"/>
          <w:b/>
          <w:sz w:val="24"/>
          <w:szCs w:val="20"/>
          <w:lang w:val="en-AU"/>
        </w:rPr>
        <w:t>Approach</w:t>
      </w:r>
      <w:r w:rsidR="002D3638">
        <w:rPr>
          <w:rFonts w:ascii="Calibri" w:eastAsia="Times" w:hAnsi="Calibri" w:cs="Calibri"/>
          <w:b/>
          <w:sz w:val="24"/>
          <w:szCs w:val="20"/>
          <w:lang w:val="en-AU"/>
        </w:rPr>
        <w:t xml:space="preserve"> and outcome</w:t>
      </w:r>
    </w:p>
    <w:p w14:paraId="517B71A3" w14:textId="02A11A7A" w:rsidR="003B4976" w:rsidRPr="00217C8D" w:rsidRDefault="00FC016F" w:rsidP="00217C8D">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Clause </w:t>
      </w:r>
      <w:r w:rsidR="002D3638">
        <w:rPr>
          <w:rFonts w:ascii="Calibri" w:eastAsia="Times" w:hAnsi="Calibri" w:cs="Calibri"/>
          <w:bCs/>
          <w:sz w:val="24"/>
          <w:szCs w:val="20"/>
          <w:lang w:val="en-AU"/>
        </w:rPr>
        <w:t>5 of Schedule 2 to the SWR Act entitles the Tribunal to regulate its own procedure (in the manner it thinks fit)</w:t>
      </w:r>
      <w:r w:rsidR="002D3638">
        <w:rPr>
          <w:rStyle w:val="FootnoteReference"/>
          <w:rFonts w:ascii="Calibri" w:eastAsia="Times" w:hAnsi="Calibri" w:cs="Calibri"/>
          <w:bCs/>
          <w:sz w:val="24"/>
          <w:szCs w:val="20"/>
          <w:lang w:val="en-AU"/>
        </w:rPr>
        <w:footnoteReference w:id="32"/>
      </w:r>
      <w:r w:rsidR="002D3638">
        <w:rPr>
          <w:rFonts w:ascii="Calibri" w:eastAsia="Times" w:hAnsi="Calibri" w:cs="Calibri"/>
          <w:bCs/>
          <w:sz w:val="24"/>
          <w:szCs w:val="20"/>
          <w:lang w:val="en-AU"/>
        </w:rPr>
        <w:t>, subject only to compliance with the legislation and the rules of natural justice.</w:t>
      </w:r>
    </w:p>
    <w:p w14:paraId="6B7C6EC1" w14:textId="1D2B2166" w:rsidR="003B4976" w:rsidRPr="00217C8D" w:rsidRDefault="002D3638" w:rsidP="003B4976">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The parties accepted that the Tribunal has jurisdiction to strike out a charge if the Tribunal does not have jurisdiction to deal with it.</w:t>
      </w:r>
    </w:p>
    <w:p w14:paraId="0B5C77C5" w14:textId="5D0CBF68" w:rsidR="00A8017D" w:rsidRPr="00217C8D" w:rsidRDefault="002D3638" w:rsidP="00A8017D">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lastRenderedPageBreak/>
        <w:t>In an application to strike out civil claims, which is what a professional disciplinary charge is</w:t>
      </w:r>
      <w:r>
        <w:rPr>
          <w:rStyle w:val="FootnoteReference"/>
          <w:rFonts w:ascii="Calibri" w:eastAsia="Times" w:hAnsi="Calibri" w:cs="Calibri"/>
          <w:bCs/>
          <w:sz w:val="24"/>
          <w:szCs w:val="20"/>
          <w:lang w:val="en-AU"/>
        </w:rPr>
        <w:footnoteReference w:id="33"/>
      </w:r>
      <w:r>
        <w:rPr>
          <w:rFonts w:ascii="Calibri" w:eastAsia="Times" w:hAnsi="Calibri" w:cs="Calibri"/>
          <w:bCs/>
          <w:sz w:val="24"/>
          <w:szCs w:val="20"/>
          <w:lang w:val="en-AU"/>
        </w:rPr>
        <w:t>, the decision-maker must assume that the factual allegations made in the relevant pleading (here, the Notice of Charge) can be established, and on that basis, ask whether the relevant party (here, the PCC) can succeed.</w:t>
      </w:r>
    </w:p>
    <w:p w14:paraId="77946AD1" w14:textId="5C0D61B5" w:rsidR="002D3638" w:rsidRDefault="00452372" w:rsidP="00FC016F">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 xml:space="preserve">On that </w:t>
      </w:r>
      <w:r w:rsidR="002D54C8">
        <w:rPr>
          <w:rFonts w:ascii="Calibri" w:eastAsia="Times" w:hAnsi="Calibri" w:cs="Calibri"/>
          <w:bCs/>
          <w:sz w:val="24"/>
          <w:szCs w:val="20"/>
          <w:lang w:val="en-AU"/>
        </w:rPr>
        <w:t>approach</w:t>
      </w:r>
      <w:r>
        <w:rPr>
          <w:rFonts w:ascii="Calibri" w:eastAsia="Times" w:hAnsi="Calibri" w:cs="Calibri"/>
          <w:bCs/>
          <w:sz w:val="24"/>
          <w:szCs w:val="20"/>
          <w:lang w:val="en-AU"/>
        </w:rPr>
        <w:t>, h</w:t>
      </w:r>
      <w:r w:rsidR="002D3638">
        <w:rPr>
          <w:rFonts w:ascii="Calibri" w:eastAsia="Times" w:hAnsi="Calibri" w:cs="Calibri"/>
          <w:bCs/>
          <w:sz w:val="24"/>
          <w:szCs w:val="20"/>
          <w:lang w:val="en-AU"/>
        </w:rPr>
        <w:t>aving found that the Tribunal does not have jurisdiction to deal with the charge, the appropriate course is to strike out the charge.</w:t>
      </w:r>
      <w:r w:rsidR="00266CF5">
        <w:rPr>
          <w:rFonts w:ascii="Calibri" w:eastAsia="Times" w:hAnsi="Calibri" w:cs="Calibri"/>
          <w:bCs/>
          <w:sz w:val="24"/>
          <w:szCs w:val="20"/>
          <w:lang w:val="en-AU"/>
        </w:rPr>
        <w:t xml:space="preserve"> The PCC cannot succeed</w:t>
      </w:r>
      <w:r w:rsidR="006E41A0">
        <w:rPr>
          <w:rFonts w:ascii="Calibri" w:eastAsia="Times" w:hAnsi="Calibri" w:cs="Calibri"/>
          <w:bCs/>
          <w:sz w:val="24"/>
          <w:szCs w:val="20"/>
          <w:lang w:val="en-AU"/>
        </w:rPr>
        <w:t xml:space="preserve"> here</w:t>
      </w:r>
      <w:r w:rsidR="00266CF5">
        <w:rPr>
          <w:rFonts w:ascii="Calibri" w:eastAsia="Times" w:hAnsi="Calibri" w:cs="Calibri"/>
          <w:bCs/>
          <w:sz w:val="24"/>
          <w:szCs w:val="20"/>
          <w:lang w:val="en-AU"/>
        </w:rPr>
        <w:t>.</w:t>
      </w:r>
      <w:r w:rsidR="00A8017D">
        <w:rPr>
          <w:rFonts w:ascii="Calibri" w:eastAsia="Times" w:hAnsi="Calibri" w:cs="Calibri"/>
          <w:bCs/>
          <w:sz w:val="24"/>
          <w:szCs w:val="20"/>
          <w:lang w:val="en-AU"/>
        </w:rPr>
        <w:t xml:space="preserve"> Accordingly, the charge against the practitioner is struck out.</w:t>
      </w:r>
    </w:p>
    <w:p w14:paraId="086A316D" w14:textId="396B1A78" w:rsidR="00CF0D78" w:rsidRDefault="00CF0D78" w:rsidP="00FC016F">
      <w:pPr>
        <w:numPr>
          <w:ilvl w:val="0"/>
          <w:numId w:val="1"/>
        </w:numPr>
        <w:tabs>
          <w:tab w:val="left" w:pos="567"/>
        </w:tabs>
        <w:spacing w:after="0" w:line="360" w:lineRule="auto"/>
        <w:ind w:left="567" w:hanging="567"/>
        <w:jc w:val="both"/>
        <w:rPr>
          <w:rFonts w:ascii="Calibri" w:eastAsia="Times" w:hAnsi="Calibri" w:cs="Calibri"/>
          <w:bCs/>
          <w:sz w:val="24"/>
          <w:szCs w:val="20"/>
          <w:lang w:val="en-AU"/>
        </w:rPr>
      </w:pPr>
      <w:r>
        <w:rPr>
          <w:rFonts w:ascii="Calibri" w:eastAsia="Times" w:hAnsi="Calibri" w:cs="Calibri"/>
          <w:bCs/>
          <w:sz w:val="24"/>
          <w:szCs w:val="20"/>
          <w:lang w:val="en-AU"/>
        </w:rPr>
        <w:t>In addition to providing a copy of this decision to the parties</w:t>
      </w:r>
      <w:r w:rsidR="0097675E">
        <w:rPr>
          <w:rFonts w:ascii="Calibri" w:eastAsia="Times" w:hAnsi="Calibri" w:cs="Calibri"/>
          <w:bCs/>
          <w:sz w:val="24"/>
          <w:szCs w:val="20"/>
          <w:lang w:val="en-AU"/>
        </w:rPr>
        <w:t xml:space="preserve">, </w:t>
      </w:r>
      <w:r>
        <w:rPr>
          <w:rFonts w:ascii="Calibri" w:eastAsia="Times" w:hAnsi="Calibri" w:cs="Calibri"/>
          <w:bCs/>
          <w:sz w:val="24"/>
          <w:szCs w:val="20"/>
          <w:lang w:val="en-AU"/>
        </w:rPr>
        <w:t>the Tribunal directs the Hearing Officer to provide a copy of this decision to the Registrar of the Social Workers Registration Board.</w:t>
      </w:r>
    </w:p>
    <w:p w14:paraId="7943591A" w14:textId="77777777" w:rsidR="00A4443B" w:rsidRDefault="00A4443B" w:rsidP="00D61FC5">
      <w:pPr>
        <w:tabs>
          <w:tab w:val="left" w:pos="884"/>
          <w:tab w:val="left" w:pos="1418"/>
          <w:tab w:val="left" w:pos="2041"/>
          <w:tab w:val="left" w:pos="2551"/>
          <w:tab w:val="left" w:pos="3662"/>
          <w:tab w:val="left" w:pos="6213"/>
        </w:tabs>
        <w:spacing w:after="0" w:line="360" w:lineRule="auto"/>
        <w:jc w:val="both"/>
        <w:rPr>
          <w:rFonts w:ascii="Calibri" w:eastAsia="Times" w:hAnsi="Calibri" w:cs="Calibri"/>
          <w:sz w:val="24"/>
          <w:szCs w:val="24"/>
          <w:lang w:val="en-GB"/>
        </w:rPr>
      </w:pPr>
    </w:p>
    <w:p w14:paraId="136D9D3B" w14:textId="38DDA0D4" w:rsidR="00732E87" w:rsidRDefault="000658FD" w:rsidP="000658FD">
      <w:pPr>
        <w:tabs>
          <w:tab w:val="left" w:pos="567"/>
        </w:tabs>
        <w:spacing w:after="0" w:line="360" w:lineRule="auto"/>
        <w:rPr>
          <w:rFonts w:ascii="Calibri" w:eastAsia="Times" w:hAnsi="Calibri" w:cs="Calibri"/>
          <w:sz w:val="24"/>
          <w:szCs w:val="24"/>
          <w:lang w:val="en-GB"/>
        </w:rPr>
      </w:pPr>
      <w:r>
        <w:rPr>
          <w:rFonts w:ascii="Calibri" w:eastAsia="Times" w:hAnsi="Calibri" w:cs="Calibri"/>
          <w:sz w:val="24"/>
          <w:szCs w:val="24"/>
          <w:lang w:val="en-GB"/>
        </w:rPr>
        <w:t xml:space="preserve">DATED at </w:t>
      </w:r>
      <w:r>
        <w:rPr>
          <w:rFonts w:ascii="Calibri" w:eastAsia="Times" w:hAnsi="Calibri" w:cs="Calibri"/>
          <w:b/>
          <w:sz w:val="24"/>
          <w:szCs w:val="24"/>
          <w:lang w:val="en-GB"/>
        </w:rPr>
        <w:t>Wellington</w:t>
      </w:r>
      <w:r>
        <w:rPr>
          <w:rFonts w:ascii="Calibri" w:eastAsia="Times" w:hAnsi="Calibri" w:cs="Calibri"/>
          <w:sz w:val="24"/>
          <w:szCs w:val="24"/>
          <w:lang w:val="en-GB"/>
        </w:rPr>
        <w:t xml:space="preserve"> this </w:t>
      </w:r>
      <w:r w:rsidR="00895B06">
        <w:rPr>
          <w:rFonts w:ascii="Calibri" w:eastAsia="Times" w:hAnsi="Calibri" w:cs="Calibri"/>
          <w:sz w:val="24"/>
          <w:szCs w:val="24"/>
          <w:lang w:val="en-GB"/>
        </w:rPr>
        <w:t>1</w:t>
      </w:r>
      <w:r w:rsidR="00895B06" w:rsidRPr="00895B06">
        <w:rPr>
          <w:rFonts w:ascii="Calibri" w:eastAsia="Times" w:hAnsi="Calibri" w:cs="Calibri"/>
          <w:sz w:val="24"/>
          <w:szCs w:val="24"/>
          <w:vertAlign w:val="superscript"/>
          <w:lang w:val="en-GB"/>
        </w:rPr>
        <w:t>st</w:t>
      </w:r>
      <w:r w:rsidR="00895B06">
        <w:rPr>
          <w:rFonts w:ascii="Calibri" w:eastAsia="Times" w:hAnsi="Calibri" w:cs="Calibri"/>
          <w:sz w:val="24"/>
          <w:szCs w:val="24"/>
          <w:lang w:val="en-GB"/>
        </w:rPr>
        <w:t xml:space="preserve"> </w:t>
      </w:r>
      <w:r>
        <w:rPr>
          <w:rFonts w:ascii="Calibri" w:eastAsia="Times" w:hAnsi="Calibri" w:cs="Calibri"/>
          <w:sz w:val="24"/>
          <w:szCs w:val="24"/>
          <w:lang w:val="en-GB"/>
        </w:rPr>
        <w:t xml:space="preserve">day of </w:t>
      </w:r>
      <w:r w:rsidR="00895B06">
        <w:rPr>
          <w:rFonts w:ascii="Calibri" w:eastAsia="Times" w:hAnsi="Calibri" w:cs="Calibri"/>
          <w:sz w:val="24"/>
          <w:szCs w:val="24"/>
          <w:lang w:val="en-GB"/>
        </w:rPr>
        <w:t>Decembe</w:t>
      </w:r>
      <w:r w:rsidR="00D127DD">
        <w:rPr>
          <w:rFonts w:ascii="Calibri" w:eastAsia="Times" w:hAnsi="Calibri" w:cs="Calibri"/>
          <w:sz w:val="24"/>
          <w:szCs w:val="24"/>
          <w:lang w:val="en-GB"/>
        </w:rPr>
        <w:t>r</w:t>
      </w:r>
      <w:r>
        <w:rPr>
          <w:rFonts w:ascii="Calibri" w:eastAsia="Times" w:hAnsi="Calibri" w:cs="Calibri"/>
          <w:sz w:val="24"/>
          <w:szCs w:val="24"/>
          <w:lang w:val="en-GB"/>
        </w:rPr>
        <w:t>2020</w:t>
      </w:r>
    </w:p>
    <w:p w14:paraId="30F52CE8" w14:textId="48C87B40" w:rsidR="004C22D1" w:rsidRDefault="004C22D1" w:rsidP="000658FD">
      <w:pPr>
        <w:tabs>
          <w:tab w:val="left" w:pos="567"/>
        </w:tabs>
        <w:spacing w:after="0" w:line="360" w:lineRule="auto"/>
        <w:rPr>
          <w:rFonts w:ascii="Calibri" w:eastAsia="Times" w:hAnsi="Calibri" w:cs="Calibri"/>
          <w:sz w:val="24"/>
          <w:szCs w:val="24"/>
          <w:lang w:val="en-GB"/>
        </w:rPr>
      </w:pPr>
    </w:p>
    <w:p w14:paraId="4E2D1E37" w14:textId="216A8DDB" w:rsidR="004C22D1" w:rsidRDefault="00895B06" w:rsidP="000658FD">
      <w:pPr>
        <w:tabs>
          <w:tab w:val="left" w:pos="567"/>
        </w:tabs>
        <w:spacing w:after="0" w:line="360" w:lineRule="auto"/>
        <w:rPr>
          <w:rFonts w:ascii="Calibri" w:eastAsia="Times" w:hAnsi="Calibri" w:cs="Calibri"/>
          <w:sz w:val="24"/>
          <w:szCs w:val="24"/>
          <w:lang w:val="en-GB"/>
        </w:rPr>
      </w:pPr>
      <w:r>
        <w:rPr>
          <w:noProof/>
          <w:lang w:eastAsia="en-NZ"/>
        </w:rPr>
        <w:drawing>
          <wp:inline distT="0" distB="0" distL="0" distR="0" wp14:anchorId="0FD0CE12" wp14:editId="587E5544">
            <wp:extent cx="613333" cy="1327401"/>
            <wp:effectExtent l="4763" t="0" r="1587" b="15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619138" cy="1339964"/>
                    </a:xfrm>
                    <a:prstGeom prst="rect">
                      <a:avLst/>
                    </a:prstGeom>
                    <a:noFill/>
                    <a:ln>
                      <a:noFill/>
                    </a:ln>
                  </pic:spPr>
                </pic:pic>
              </a:graphicData>
            </a:graphic>
          </wp:inline>
        </w:drawing>
      </w:r>
    </w:p>
    <w:p w14:paraId="273C62AB" w14:textId="77777777" w:rsidR="004C22D1" w:rsidRDefault="004C22D1" w:rsidP="000658FD">
      <w:pPr>
        <w:tabs>
          <w:tab w:val="left" w:pos="567"/>
        </w:tabs>
        <w:spacing w:after="0" w:line="360" w:lineRule="auto"/>
        <w:rPr>
          <w:rFonts w:ascii="Calibri" w:eastAsia="Times" w:hAnsi="Calibri" w:cs="Calibri"/>
          <w:sz w:val="24"/>
          <w:szCs w:val="20"/>
          <w:lang w:val="en-AU"/>
        </w:rPr>
      </w:pPr>
    </w:p>
    <w:p w14:paraId="11276237" w14:textId="77777777" w:rsidR="000658FD" w:rsidRPr="00895B06" w:rsidRDefault="000658FD" w:rsidP="000658FD">
      <w:pPr>
        <w:tabs>
          <w:tab w:val="left" w:pos="567"/>
        </w:tabs>
        <w:spacing w:after="0" w:line="240" w:lineRule="auto"/>
        <w:rPr>
          <w:rFonts w:ascii="Calibri" w:eastAsia="Times" w:hAnsi="Calibri" w:cs="Calibri"/>
          <w:b/>
          <w:color w:val="0070C0"/>
          <w:sz w:val="24"/>
          <w:szCs w:val="20"/>
          <w:lang w:val="en-AU"/>
        </w:rPr>
      </w:pPr>
      <w:r w:rsidRPr="00895B06">
        <w:rPr>
          <w:rFonts w:ascii="Calibri" w:eastAsia="Times" w:hAnsi="Calibri" w:cs="Calibri"/>
          <w:b/>
          <w:color w:val="0070C0"/>
          <w:sz w:val="24"/>
          <w:szCs w:val="20"/>
          <w:lang w:val="en-AU"/>
        </w:rPr>
        <w:t>Jo Hughson</w:t>
      </w:r>
    </w:p>
    <w:p w14:paraId="2EEF8D68" w14:textId="77777777" w:rsidR="000658FD" w:rsidRDefault="000658FD" w:rsidP="000658FD">
      <w:pPr>
        <w:tabs>
          <w:tab w:val="left" w:pos="567"/>
        </w:tabs>
        <w:spacing w:after="0" w:line="240" w:lineRule="auto"/>
        <w:rPr>
          <w:rFonts w:ascii="Calibri" w:eastAsia="Times" w:hAnsi="Calibri" w:cs="Calibri"/>
          <w:sz w:val="24"/>
          <w:szCs w:val="20"/>
          <w:lang w:val="en-AU"/>
        </w:rPr>
      </w:pPr>
      <w:r>
        <w:rPr>
          <w:rFonts w:ascii="Calibri" w:eastAsia="Times" w:hAnsi="Calibri" w:cs="Calibri"/>
          <w:sz w:val="24"/>
          <w:szCs w:val="20"/>
          <w:lang w:val="en-AU"/>
        </w:rPr>
        <w:t>Chairperson</w:t>
      </w:r>
    </w:p>
    <w:p w14:paraId="0EC6A85F" w14:textId="27FF147A" w:rsidR="00A444DF" w:rsidRPr="00D61FC5" w:rsidRDefault="000658FD" w:rsidP="00D61FC5">
      <w:pPr>
        <w:tabs>
          <w:tab w:val="left" w:pos="567"/>
        </w:tabs>
        <w:spacing w:after="0" w:line="240" w:lineRule="auto"/>
        <w:rPr>
          <w:rFonts w:ascii="Times" w:eastAsia="Times" w:hAnsi="Times" w:cs="Times New Roman"/>
          <w:sz w:val="24"/>
          <w:szCs w:val="20"/>
          <w:lang w:val="en-AU"/>
        </w:rPr>
      </w:pPr>
      <w:r>
        <w:rPr>
          <w:rFonts w:ascii="Calibri" w:eastAsia="Times" w:hAnsi="Calibri" w:cs="Calibri"/>
          <w:sz w:val="24"/>
          <w:szCs w:val="20"/>
          <w:lang w:val="en-AU"/>
        </w:rPr>
        <w:t>Social Workers Complaints and Disciplinary Tribunal</w:t>
      </w:r>
    </w:p>
    <w:sectPr w:rsidR="00A444DF" w:rsidRPr="00D61F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1CCC" w14:textId="77777777" w:rsidR="0065317C" w:rsidRDefault="0065317C" w:rsidP="00DF471D">
      <w:pPr>
        <w:spacing w:after="0" w:line="240" w:lineRule="auto"/>
      </w:pPr>
      <w:r>
        <w:separator/>
      </w:r>
    </w:p>
  </w:endnote>
  <w:endnote w:type="continuationSeparator" w:id="0">
    <w:p w14:paraId="2D57AA77" w14:textId="77777777" w:rsidR="0065317C" w:rsidRDefault="0065317C" w:rsidP="00DF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7A92" w14:textId="52EEAAA6" w:rsidR="00895B06" w:rsidRPr="00D71242" w:rsidRDefault="00895B06" w:rsidP="00895B06">
    <w:pPr>
      <w:pStyle w:val="Footer"/>
      <w:tabs>
        <w:tab w:val="left" w:pos="3969"/>
      </w:tabs>
      <w:rPr>
        <w:rFonts w:ascii="Calibri" w:hAnsi="Calibri" w:cs="Calibri"/>
        <w:color w:val="0070C0"/>
      </w:rPr>
    </w:pPr>
    <w:r>
      <w:rPr>
        <w:rFonts w:ascii="Calibri" w:hAnsi="Calibri" w:cs="Calibri"/>
        <w:color w:val="0070C0"/>
      </w:rPr>
      <w:t>Level 24 AON Building</w:t>
    </w:r>
    <w:r>
      <w:rPr>
        <w:rFonts w:ascii="Calibri" w:hAnsi="Calibri" w:cs="Calibri"/>
        <w:color w:val="0070C0"/>
      </w:rPr>
      <w:tab/>
      <w:t>PO Box 10509</w:t>
    </w:r>
  </w:p>
  <w:p w14:paraId="13F1EBEA" w14:textId="6B552395" w:rsidR="00895B06" w:rsidRPr="00D71242" w:rsidRDefault="00895B06" w:rsidP="00895B06">
    <w:pPr>
      <w:pStyle w:val="Footer"/>
      <w:tabs>
        <w:tab w:val="left" w:pos="3969"/>
        <w:tab w:val="center" w:pos="6804"/>
      </w:tabs>
      <w:rPr>
        <w:rFonts w:ascii="Calibri" w:hAnsi="Calibri" w:cs="Calibri"/>
        <w:color w:val="0070C0"/>
      </w:rPr>
    </w:pPr>
    <w:r w:rsidRPr="00D71242">
      <w:rPr>
        <w:rFonts w:ascii="Calibri" w:hAnsi="Calibri" w:cs="Calibri"/>
        <w:color w:val="0070C0"/>
      </w:rPr>
      <w:t>1 Willis Street</w:t>
    </w:r>
    <w:r>
      <w:rPr>
        <w:rFonts w:ascii="Calibri" w:hAnsi="Calibri" w:cs="Calibri"/>
        <w:color w:val="0070C0"/>
      </w:rPr>
      <w:tab/>
      <w:t>Wellington</w:t>
    </w:r>
  </w:p>
  <w:p w14:paraId="42F41E50" w14:textId="77777777" w:rsidR="00895B06" w:rsidRDefault="00895B06" w:rsidP="00895B06">
    <w:pPr>
      <w:pStyle w:val="Footer"/>
      <w:rPr>
        <w:rFonts w:ascii="Calibri" w:hAnsi="Calibri" w:cs="Calibri"/>
        <w:color w:val="0070C0"/>
      </w:rPr>
    </w:pPr>
    <w:r w:rsidRPr="00D71242">
      <w:rPr>
        <w:rFonts w:ascii="Calibri" w:hAnsi="Calibri" w:cs="Calibri"/>
        <w:color w:val="0070C0"/>
      </w:rPr>
      <w:t>Wellington 6011</w:t>
    </w:r>
  </w:p>
  <w:p w14:paraId="7F556FE8" w14:textId="46D9BCF9" w:rsidR="00F37460" w:rsidRDefault="00F37460" w:rsidP="00895B06">
    <w:pPr>
      <w:pStyle w:val="Footer"/>
      <w:tabs>
        <w:tab w:val="clear" w:pos="4513"/>
        <w:tab w:val="clear" w:pos="9026"/>
        <w:tab w:val="left" w:pos="18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794325"/>
      <w:docPartObj>
        <w:docPartGallery w:val="Page Numbers (Bottom of Page)"/>
        <w:docPartUnique/>
      </w:docPartObj>
    </w:sdtPr>
    <w:sdtEndPr>
      <w:rPr>
        <w:noProof/>
      </w:rPr>
    </w:sdtEndPr>
    <w:sdtContent>
      <w:p w14:paraId="1315184B" w14:textId="7801A485" w:rsidR="00895B06" w:rsidRDefault="00895B06">
        <w:pPr>
          <w:pStyle w:val="Footer"/>
          <w:jc w:val="center"/>
        </w:pPr>
        <w:r>
          <w:fldChar w:fldCharType="begin"/>
        </w:r>
        <w:r>
          <w:instrText xml:space="preserve"> PAGE   \* MERGEFORMAT </w:instrText>
        </w:r>
        <w:r>
          <w:fldChar w:fldCharType="separate"/>
        </w:r>
        <w:r w:rsidR="00FB2D6A">
          <w:rPr>
            <w:noProof/>
          </w:rPr>
          <w:t>21</w:t>
        </w:r>
        <w:r>
          <w:rPr>
            <w:noProof/>
          </w:rPr>
          <w:fldChar w:fldCharType="end"/>
        </w:r>
      </w:p>
    </w:sdtContent>
  </w:sdt>
  <w:p w14:paraId="2250C9EA" w14:textId="77777777" w:rsidR="00895B06" w:rsidRPr="00895B06" w:rsidRDefault="00895B06" w:rsidP="0089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56BC" w14:textId="77777777" w:rsidR="0065317C" w:rsidRDefault="0065317C" w:rsidP="00DF471D">
      <w:pPr>
        <w:spacing w:after="0" w:line="240" w:lineRule="auto"/>
      </w:pPr>
      <w:r>
        <w:separator/>
      </w:r>
    </w:p>
  </w:footnote>
  <w:footnote w:type="continuationSeparator" w:id="0">
    <w:p w14:paraId="7B3A3325" w14:textId="77777777" w:rsidR="0065317C" w:rsidRDefault="0065317C" w:rsidP="00DF471D">
      <w:pPr>
        <w:spacing w:after="0" w:line="240" w:lineRule="auto"/>
      </w:pPr>
      <w:r>
        <w:continuationSeparator/>
      </w:r>
    </w:p>
  </w:footnote>
  <w:footnote w:id="1">
    <w:p w14:paraId="5071D713" w14:textId="34F49E07" w:rsidR="00F37460" w:rsidRDefault="00F37460">
      <w:pPr>
        <w:pStyle w:val="FootnoteText"/>
      </w:pPr>
      <w:r>
        <w:rPr>
          <w:rStyle w:val="FootnoteReference"/>
        </w:rPr>
        <w:footnoteRef/>
      </w:r>
      <w:r>
        <w:t xml:space="preserve"> Notice of Charge dated 6 August 2020 signed by the Presiding Member of the PCC, Ms Phyllis Huitema.</w:t>
      </w:r>
    </w:p>
  </w:footnote>
  <w:footnote w:id="2">
    <w:p w14:paraId="46DCEFA3" w14:textId="03A60DDA" w:rsidR="00F37460" w:rsidRDefault="00F37460">
      <w:pPr>
        <w:pStyle w:val="FootnoteText"/>
      </w:pPr>
      <w:r>
        <w:rPr>
          <w:rStyle w:val="FootnoteReference"/>
        </w:rPr>
        <w:footnoteRef/>
      </w:r>
      <w:r>
        <w:t xml:space="preserve"> Subsequently the hearing was adjourned.</w:t>
      </w:r>
    </w:p>
  </w:footnote>
  <w:footnote w:id="3">
    <w:p w14:paraId="7E838564" w14:textId="216480BC" w:rsidR="00F37460" w:rsidRDefault="00F37460">
      <w:pPr>
        <w:pStyle w:val="FootnoteText"/>
      </w:pPr>
      <w:r>
        <w:rPr>
          <w:rStyle w:val="FootnoteReference"/>
        </w:rPr>
        <w:footnoteRef/>
      </w:r>
      <w:r>
        <w:t xml:space="preserve"> Orders for Interim Non-Publication of the Names o</w:t>
      </w:r>
      <w:r w:rsidR="007D275C">
        <w:t>f</w:t>
      </w:r>
      <w:r>
        <w:t xml:space="preserve"> Original Complainant and of Practitioner dated 16 October 2020.</w:t>
      </w:r>
    </w:p>
  </w:footnote>
  <w:footnote w:id="4">
    <w:p w14:paraId="5DB2E515" w14:textId="7E8AF369" w:rsidR="00F37460" w:rsidRPr="00E734D0" w:rsidRDefault="00F37460">
      <w:pPr>
        <w:pStyle w:val="FootnoteText"/>
      </w:pPr>
      <w:r>
        <w:rPr>
          <w:rStyle w:val="FootnoteReference"/>
        </w:rPr>
        <w:footnoteRef/>
      </w:r>
      <w:r>
        <w:t xml:space="preserve"> Memorandum of Counsel for the PCC regarding </w:t>
      </w:r>
      <w:r w:rsidRPr="00E734D0">
        <w:rPr>
          <w:rFonts w:ascii="Calibri" w:eastAsia="Times" w:hAnsi="Calibri" w:cs="Calibri"/>
          <w:bCs/>
          <w:lang w:val="en-AU"/>
        </w:rPr>
        <w:t xml:space="preserve">non-publication </w:t>
      </w:r>
      <w:r>
        <w:rPr>
          <w:rFonts w:ascii="Calibri" w:eastAsia="Times" w:hAnsi="Calibri" w:cs="Calibri"/>
          <w:bCs/>
          <w:lang w:val="en-AU"/>
        </w:rPr>
        <w:t>or</w:t>
      </w:r>
      <w:r w:rsidRPr="00E734D0">
        <w:rPr>
          <w:rFonts w:ascii="Calibri" w:eastAsia="Times" w:hAnsi="Calibri" w:cs="Calibri"/>
          <w:bCs/>
          <w:lang w:val="en-AU"/>
        </w:rPr>
        <w:t>der in respect of [the junior social worker] dated 1 October 2020</w:t>
      </w:r>
      <w:r>
        <w:rPr>
          <w:rFonts w:ascii="Calibri" w:eastAsia="Times" w:hAnsi="Calibri" w:cs="Calibri"/>
          <w:bCs/>
          <w:lang w:val="en-AU"/>
        </w:rPr>
        <w:t>.</w:t>
      </w:r>
    </w:p>
  </w:footnote>
  <w:footnote w:id="5">
    <w:p w14:paraId="568E9263" w14:textId="6A8DF4B7" w:rsidR="00F37460" w:rsidRDefault="00F37460">
      <w:pPr>
        <w:pStyle w:val="FootnoteText"/>
      </w:pPr>
      <w:r>
        <w:rPr>
          <w:rStyle w:val="FootnoteReference"/>
        </w:rPr>
        <w:footnoteRef/>
      </w:r>
      <w:r>
        <w:t xml:space="preserve"> The Tribunal deliberated after the hearing and reconvened on 24 November 2020 for further deliberations.</w:t>
      </w:r>
    </w:p>
  </w:footnote>
  <w:footnote w:id="6">
    <w:p w14:paraId="0D834AD5" w14:textId="77777777" w:rsidR="00F37460" w:rsidRPr="003F36AF" w:rsidRDefault="00F37460" w:rsidP="003F36AF">
      <w:pPr>
        <w:pStyle w:val="history-note"/>
        <w:shd w:val="clear" w:color="auto" w:fill="FFFFFF"/>
        <w:spacing w:before="0" w:beforeAutospacing="0" w:after="0" w:afterAutospacing="0" w:line="288" w:lineRule="atLeast"/>
        <w:jc w:val="both"/>
        <w:textAlignment w:val="baseline"/>
        <w:rPr>
          <w:rFonts w:asciiTheme="minorHAnsi" w:hAnsiTheme="minorHAnsi" w:cstheme="minorHAnsi"/>
          <w:color w:val="000000"/>
          <w:sz w:val="20"/>
          <w:szCs w:val="20"/>
        </w:rPr>
      </w:pPr>
      <w:r>
        <w:rPr>
          <w:rStyle w:val="FootnoteReference"/>
        </w:rPr>
        <w:footnoteRef/>
      </w:r>
      <w:r>
        <w:t xml:space="preserve"> </w:t>
      </w:r>
      <w:r w:rsidRPr="003F36AF">
        <w:rPr>
          <w:rStyle w:val="amended-provision"/>
          <w:rFonts w:asciiTheme="minorHAnsi" w:hAnsiTheme="minorHAnsi" w:cstheme="minorHAnsi"/>
          <w:color w:val="000000"/>
          <w:sz w:val="20"/>
          <w:szCs w:val="20"/>
          <w:bdr w:val="none" w:sz="0" w:space="0" w:color="auto" w:frame="1"/>
        </w:rPr>
        <w:t>Section 2(1)</w:t>
      </w:r>
      <w:r w:rsidRPr="003F36AF">
        <w:rPr>
          <w:rFonts w:asciiTheme="minorHAnsi" w:hAnsiTheme="minorHAnsi" w:cstheme="minorHAnsi"/>
          <w:color w:val="000000"/>
          <w:sz w:val="20"/>
          <w:szCs w:val="20"/>
        </w:rPr>
        <w:t>: sections 97 to 113, 137, 141 to 149, Schedule 1, and Schedule 3 (except for the provision relating to the Health and Disability Commissioner Act 1994) </w:t>
      </w:r>
      <w:r w:rsidRPr="003F36AF">
        <w:rPr>
          <w:rStyle w:val="amending-operation"/>
          <w:rFonts w:asciiTheme="minorHAnsi" w:hAnsiTheme="minorHAnsi" w:cstheme="minorHAnsi"/>
          <w:color w:val="000000"/>
          <w:sz w:val="20"/>
          <w:szCs w:val="20"/>
          <w:bdr w:val="none" w:sz="0" w:space="0" w:color="auto" w:frame="1"/>
        </w:rPr>
        <w:t>brought into force</w:t>
      </w:r>
      <w:r w:rsidRPr="003F36AF">
        <w:rPr>
          <w:rFonts w:asciiTheme="minorHAnsi" w:hAnsiTheme="minorHAnsi" w:cstheme="minorHAnsi"/>
          <w:color w:val="000000"/>
          <w:sz w:val="20"/>
          <w:szCs w:val="20"/>
        </w:rPr>
        <w:t>, on </w:t>
      </w:r>
      <w:r w:rsidRPr="003F36AF">
        <w:rPr>
          <w:rStyle w:val="amendment-date"/>
          <w:rFonts w:asciiTheme="minorHAnsi" w:hAnsiTheme="minorHAnsi" w:cstheme="minorHAnsi"/>
          <w:color w:val="000000"/>
          <w:sz w:val="20"/>
          <w:szCs w:val="20"/>
          <w:bdr w:val="none" w:sz="0" w:space="0" w:color="auto" w:frame="1"/>
        </w:rPr>
        <w:t>1 November 2003</w:t>
      </w:r>
      <w:r w:rsidRPr="003F36AF">
        <w:rPr>
          <w:rFonts w:asciiTheme="minorHAnsi" w:hAnsiTheme="minorHAnsi" w:cstheme="minorHAnsi"/>
          <w:color w:val="000000"/>
          <w:sz w:val="20"/>
          <w:szCs w:val="20"/>
        </w:rPr>
        <w:t>, by the </w:t>
      </w:r>
      <w:bookmarkStart w:id="0" w:name="DLM211956"/>
      <w:r w:rsidRPr="003F36AF">
        <w:rPr>
          <w:rFonts w:asciiTheme="minorHAnsi" w:hAnsiTheme="minorHAnsi" w:cstheme="minorHAnsi"/>
          <w:color w:val="000000"/>
          <w:sz w:val="20"/>
          <w:szCs w:val="20"/>
        </w:rPr>
        <w:fldChar w:fldCharType="begin"/>
      </w:r>
      <w:r w:rsidRPr="003F36AF">
        <w:rPr>
          <w:rFonts w:asciiTheme="minorHAnsi" w:hAnsiTheme="minorHAnsi" w:cstheme="minorHAnsi"/>
          <w:color w:val="000000"/>
          <w:sz w:val="20"/>
          <w:szCs w:val="20"/>
        </w:rPr>
        <w:instrText xml:space="preserve"> HYPERLINK "http://www.legislation.govt.nz/act/public/2003/0017/latest/link.aspx?id=DLM211956" </w:instrText>
      </w:r>
      <w:r w:rsidRPr="003F36AF">
        <w:rPr>
          <w:rFonts w:asciiTheme="minorHAnsi" w:hAnsiTheme="minorHAnsi" w:cstheme="minorHAnsi"/>
          <w:color w:val="000000"/>
          <w:sz w:val="20"/>
          <w:szCs w:val="20"/>
        </w:rPr>
        <w:fldChar w:fldCharType="separate"/>
      </w:r>
      <w:r w:rsidRPr="003F36AF">
        <w:rPr>
          <w:rStyle w:val="Hyperlink"/>
          <w:rFonts w:asciiTheme="minorHAnsi" w:hAnsiTheme="minorHAnsi" w:cstheme="minorHAnsi"/>
          <w:sz w:val="20"/>
          <w:szCs w:val="20"/>
          <w:bdr w:val="none" w:sz="0" w:space="0" w:color="auto" w:frame="1"/>
        </w:rPr>
        <w:t>Social Workers Registration Act Commencement Order 2003</w:t>
      </w:r>
      <w:r w:rsidRPr="003F36AF">
        <w:rPr>
          <w:rFonts w:asciiTheme="minorHAnsi" w:hAnsiTheme="minorHAnsi" w:cstheme="minorHAnsi"/>
          <w:color w:val="000000"/>
          <w:sz w:val="20"/>
          <w:szCs w:val="20"/>
        </w:rPr>
        <w:fldChar w:fldCharType="end"/>
      </w:r>
      <w:r w:rsidRPr="003F36AF">
        <w:rPr>
          <w:rFonts w:asciiTheme="minorHAnsi" w:hAnsiTheme="minorHAnsi" w:cstheme="minorHAnsi"/>
          <w:color w:val="000000"/>
          <w:sz w:val="20"/>
          <w:szCs w:val="20"/>
        </w:rPr>
        <w:t> (SR 2003/250).</w:t>
      </w:r>
    </w:p>
    <w:p w14:paraId="00DA7C83" w14:textId="77777777" w:rsidR="00F37460" w:rsidRPr="003F36AF" w:rsidRDefault="00F37460" w:rsidP="003F36AF">
      <w:pPr>
        <w:pStyle w:val="history-note"/>
        <w:shd w:val="clear" w:color="auto" w:fill="FFFFFF"/>
        <w:spacing w:before="0" w:beforeAutospacing="0" w:after="0" w:afterAutospacing="0" w:line="288" w:lineRule="atLeast"/>
        <w:jc w:val="both"/>
        <w:textAlignment w:val="baseline"/>
        <w:rPr>
          <w:rFonts w:asciiTheme="minorHAnsi" w:hAnsiTheme="minorHAnsi" w:cstheme="minorHAnsi"/>
          <w:color w:val="000000"/>
          <w:sz w:val="20"/>
          <w:szCs w:val="20"/>
        </w:rPr>
      </w:pPr>
      <w:r w:rsidRPr="003F36AF">
        <w:rPr>
          <w:rStyle w:val="amended-provision"/>
          <w:rFonts w:asciiTheme="minorHAnsi" w:hAnsiTheme="minorHAnsi" w:cstheme="minorHAnsi"/>
          <w:color w:val="000000"/>
          <w:sz w:val="20"/>
          <w:szCs w:val="20"/>
          <w:bdr w:val="none" w:sz="0" w:space="0" w:color="auto" w:frame="1"/>
        </w:rPr>
        <w:t>Section 2(1)</w:t>
      </w:r>
      <w:r w:rsidRPr="003F36AF">
        <w:rPr>
          <w:rFonts w:asciiTheme="minorHAnsi" w:hAnsiTheme="minorHAnsi" w:cstheme="minorHAnsi"/>
          <w:color w:val="000000"/>
          <w:sz w:val="20"/>
          <w:szCs w:val="20"/>
        </w:rPr>
        <w:t>: so much of the Act as not in force immediately before the close of 30 September 2004 </w:t>
      </w:r>
      <w:r w:rsidRPr="003F36AF">
        <w:rPr>
          <w:rStyle w:val="amending-operation"/>
          <w:rFonts w:asciiTheme="minorHAnsi" w:hAnsiTheme="minorHAnsi" w:cstheme="minorHAnsi"/>
          <w:color w:val="000000"/>
          <w:sz w:val="20"/>
          <w:szCs w:val="20"/>
          <w:bdr w:val="none" w:sz="0" w:space="0" w:color="auto" w:frame="1"/>
        </w:rPr>
        <w:t>brought into force</w:t>
      </w:r>
      <w:r w:rsidRPr="003F36AF">
        <w:rPr>
          <w:rFonts w:asciiTheme="minorHAnsi" w:hAnsiTheme="minorHAnsi" w:cstheme="minorHAnsi"/>
          <w:color w:val="000000"/>
          <w:sz w:val="20"/>
          <w:szCs w:val="20"/>
        </w:rPr>
        <w:t>, on </w:t>
      </w:r>
      <w:r w:rsidRPr="003F36AF">
        <w:rPr>
          <w:rStyle w:val="amendment-date"/>
          <w:rFonts w:asciiTheme="minorHAnsi" w:hAnsiTheme="minorHAnsi" w:cstheme="minorHAnsi"/>
          <w:color w:val="000000"/>
          <w:sz w:val="20"/>
          <w:szCs w:val="20"/>
          <w:bdr w:val="none" w:sz="0" w:space="0" w:color="auto" w:frame="1"/>
        </w:rPr>
        <w:t>1 October 2004</w:t>
      </w:r>
      <w:r w:rsidRPr="003F36AF">
        <w:rPr>
          <w:rFonts w:asciiTheme="minorHAnsi" w:hAnsiTheme="minorHAnsi" w:cstheme="minorHAnsi"/>
          <w:color w:val="000000"/>
          <w:sz w:val="20"/>
          <w:szCs w:val="20"/>
        </w:rPr>
        <w:t>, by the </w:t>
      </w:r>
      <w:hyperlink r:id="rId1" w:history="1">
        <w:r w:rsidRPr="003F36AF">
          <w:rPr>
            <w:rStyle w:val="Hyperlink"/>
            <w:rFonts w:asciiTheme="minorHAnsi" w:hAnsiTheme="minorHAnsi" w:cstheme="minorHAnsi"/>
            <w:sz w:val="20"/>
            <w:szCs w:val="20"/>
            <w:bdr w:val="none" w:sz="0" w:space="0" w:color="auto" w:frame="1"/>
          </w:rPr>
          <w:t>Social Workers Registration Act Commencement Order 2003</w:t>
        </w:r>
      </w:hyperlink>
      <w:bookmarkEnd w:id="0"/>
      <w:r w:rsidRPr="003F36AF">
        <w:rPr>
          <w:rFonts w:asciiTheme="minorHAnsi" w:hAnsiTheme="minorHAnsi" w:cstheme="minorHAnsi"/>
          <w:color w:val="000000"/>
          <w:sz w:val="20"/>
          <w:szCs w:val="20"/>
        </w:rPr>
        <w:t> (SR 2003/250).</w:t>
      </w:r>
    </w:p>
    <w:p w14:paraId="4637F280" w14:textId="58E76ABB" w:rsidR="00F37460" w:rsidRPr="003F36AF" w:rsidRDefault="00F37460">
      <w:pPr>
        <w:pStyle w:val="FootnoteText"/>
        <w:rPr>
          <w:rFonts w:cstheme="minorHAnsi"/>
        </w:rPr>
      </w:pPr>
    </w:p>
  </w:footnote>
  <w:footnote w:id="7">
    <w:p w14:paraId="0740F5E3" w14:textId="58C2D8B5" w:rsidR="00F37460" w:rsidRDefault="00F37460" w:rsidP="00347487">
      <w:pPr>
        <w:pStyle w:val="FootnoteText"/>
        <w:jc w:val="both"/>
      </w:pPr>
      <w:r>
        <w:rPr>
          <w:rStyle w:val="FootnoteReference"/>
        </w:rPr>
        <w:footnoteRef/>
      </w:r>
      <w:r>
        <w:t xml:space="preserve"> </w:t>
      </w:r>
      <w:bookmarkStart w:id="1" w:name="_Hlk57375999"/>
      <w:r w:rsidR="000A05DD">
        <w:t>S</w:t>
      </w:r>
      <w:r>
        <w:t>ocial workers who are not registered</w:t>
      </w:r>
      <w:r w:rsidR="00156915">
        <w:t xml:space="preserve"> under the SWR Act</w:t>
      </w:r>
      <w:r>
        <w:t xml:space="preserve"> but who are members of </w:t>
      </w:r>
      <w:r w:rsidR="00156915">
        <w:t>T</w:t>
      </w:r>
      <w:r>
        <w:t xml:space="preserve">he Aotearoa New Zealand Association of Social Workers (ANZASW) </w:t>
      </w:r>
      <w:r w:rsidR="00156915">
        <w:t xml:space="preserve">(the professional association for social workers) </w:t>
      </w:r>
      <w:r>
        <w:t>are subject to a complaints proc</w:t>
      </w:r>
      <w:r w:rsidR="00C5645F">
        <w:t>ess</w:t>
      </w:r>
      <w:r>
        <w:t xml:space="preserve"> with the Association</w:t>
      </w:r>
      <w:r w:rsidR="004F7157">
        <w:t xml:space="preserve">. </w:t>
      </w:r>
      <w:r w:rsidR="006F4328">
        <w:t xml:space="preserve">See </w:t>
      </w:r>
      <w:hyperlink r:id="rId2" w:history="1">
        <w:r w:rsidR="006F4328" w:rsidRPr="00AA116A">
          <w:rPr>
            <w:rStyle w:val="Hyperlink"/>
          </w:rPr>
          <w:t>www.anzasw.nz</w:t>
        </w:r>
      </w:hyperlink>
      <w:r w:rsidR="006F4328">
        <w:t xml:space="preserve">. </w:t>
      </w:r>
      <w:r w:rsidR="006E00A9">
        <w:t xml:space="preserve">A member can be investigated for issues relating to his or her social work practice. Complaints resolution procedures are administered by a Complaints Convenor who has a range of resolution options available, from mediation and informal, culturally specific, resolution opportunities, through to formal disciplinary procedures. </w:t>
      </w:r>
      <w:r w:rsidR="000A05DD">
        <w:t>The complaints process applies when members are not registered social workers but are alleged to have committed a Disciplinary Offence</w:t>
      </w:r>
      <w:r w:rsidR="006E00A9">
        <w:t xml:space="preserve"> (as specified in Clause 9 of the Standing Orders relating to the Complaint Procedures of the ANZASW (effective from 1 September 2018)). The process also applies</w:t>
      </w:r>
      <w:r w:rsidR="000A05DD">
        <w:t xml:space="preserve"> if </w:t>
      </w:r>
      <w:r w:rsidR="006E00A9">
        <w:t xml:space="preserve">a complaint is received about a member who is a registered social worker and </w:t>
      </w:r>
      <w:r w:rsidR="00463988">
        <w:t xml:space="preserve">who </w:t>
      </w:r>
      <w:r w:rsidR="006E00A9">
        <w:t>is alleged to have acted improperly or inappropriately in the course of carrying out any role or function for the Association and the Chief Executive determines that a complaint to the Board</w:t>
      </w:r>
      <w:r w:rsidR="000A05DD">
        <w:t xml:space="preserve"> </w:t>
      </w:r>
      <w:r w:rsidR="006E00A9">
        <w:t>is not warranted; or</w:t>
      </w:r>
      <w:r w:rsidR="00463988">
        <w:t xml:space="preserve"> who</w:t>
      </w:r>
      <w:r w:rsidR="006E00A9">
        <w:t xml:space="preserve"> is alleged to have committed a Disciplinary Offence and the Board </w:t>
      </w:r>
      <w:r w:rsidR="000A05DD">
        <w:t>has elected not to take any action in respect</w:t>
      </w:r>
      <w:r w:rsidR="006E00A9">
        <w:t xml:space="preserve"> of the alleged Disciplinary Offence</w:t>
      </w:r>
      <w:r w:rsidR="00AC0437">
        <w:t xml:space="preserve"> (Clause 2 of the Standing Orders relating to Scope of the Standing Orders).</w:t>
      </w:r>
      <w:r w:rsidR="000A05DD">
        <w:t xml:space="preserve">  Clause 10 iii of the Standing Orders provides that complaints about matters that occurred before a member became a member; or more than 7 years prior to the receipt of the complaint, “shall not activate” the complaints procedures.</w:t>
      </w:r>
      <w:r>
        <w:t xml:space="preserve"> </w:t>
      </w:r>
      <w:r w:rsidR="00156915">
        <w:t>Members of ANZASW</w:t>
      </w:r>
      <w:r w:rsidR="00E45BE8">
        <w:t xml:space="preserve"> are also required to </w:t>
      </w:r>
      <w:r w:rsidR="006F4328">
        <w:t xml:space="preserve">comply with CPD requirements, </w:t>
      </w:r>
      <w:r w:rsidR="00E45BE8">
        <w:t xml:space="preserve">evidence competence to practice, </w:t>
      </w:r>
      <w:r w:rsidR="006F4328">
        <w:t xml:space="preserve">and </w:t>
      </w:r>
      <w:r w:rsidR="00E45BE8">
        <w:t>have professional supervision.</w:t>
      </w:r>
      <w:r w:rsidR="00F32CDF">
        <w:t xml:space="preserve"> Social workers who are not members of AN</w:t>
      </w:r>
      <w:r w:rsidR="00DA10DA">
        <w:t xml:space="preserve">ZASW are not subject to </w:t>
      </w:r>
      <w:r w:rsidR="000A05DD">
        <w:t xml:space="preserve">the Association’s complaints </w:t>
      </w:r>
      <w:r w:rsidR="00DA10DA">
        <w:t>process</w:t>
      </w:r>
      <w:r w:rsidR="00C5645F">
        <w:t xml:space="preserve"> and therefore cannot be investigated by the ANZASW</w:t>
      </w:r>
      <w:r w:rsidR="006F4328">
        <w:t>. It is not known to the Tribunal whether the practitioner is a member of the ANZASW.</w:t>
      </w:r>
    </w:p>
    <w:bookmarkEnd w:id="1"/>
  </w:footnote>
  <w:footnote w:id="8">
    <w:p w14:paraId="5DFAF44B" w14:textId="23BCACBB" w:rsidR="00F37460" w:rsidRDefault="00F37460" w:rsidP="00DD71BE">
      <w:pPr>
        <w:pStyle w:val="FootnoteText"/>
      </w:pPr>
      <w:r>
        <w:rPr>
          <w:rStyle w:val="FootnoteReference"/>
        </w:rPr>
        <w:footnoteRef/>
      </w:r>
      <w:r>
        <w:t xml:space="preserve"> Board website regarding ‘Mandatory Registration’. The Act is administered by the Ministry for Social Development (MSD). MSD has also recognised this (MSD Website).</w:t>
      </w:r>
    </w:p>
  </w:footnote>
  <w:footnote w:id="9">
    <w:p w14:paraId="7F7ABCE1" w14:textId="77777777" w:rsidR="00F37460" w:rsidRDefault="00F37460" w:rsidP="00DD71BE">
      <w:pPr>
        <w:pStyle w:val="FootnoteText"/>
      </w:pPr>
      <w:r>
        <w:rPr>
          <w:rStyle w:val="FootnoteReference"/>
        </w:rPr>
        <w:footnoteRef/>
      </w:r>
      <w:r>
        <w:t xml:space="preserve"> Social Workers Registration Legislation Act 2019.</w:t>
      </w:r>
    </w:p>
  </w:footnote>
  <w:footnote w:id="10">
    <w:p w14:paraId="22AD0990" w14:textId="77777777" w:rsidR="00F37460" w:rsidRDefault="00F37460" w:rsidP="00DD71BE">
      <w:pPr>
        <w:pStyle w:val="FootnoteText"/>
      </w:pPr>
      <w:r>
        <w:rPr>
          <w:rStyle w:val="FootnoteReference"/>
        </w:rPr>
        <w:footnoteRef/>
      </w:r>
      <w:r>
        <w:t xml:space="preserve"> Section 3 (Purpose), SWR Act.</w:t>
      </w:r>
    </w:p>
  </w:footnote>
  <w:footnote w:id="11">
    <w:p w14:paraId="4F8EFF79" w14:textId="4EB0342B" w:rsidR="00F37460" w:rsidRDefault="00F37460">
      <w:pPr>
        <w:pStyle w:val="FootnoteText"/>
      </w:pPr>
      <w:r>
        <w:rPr>
          <w:rStyle w:val="FootnoteReference"/>
        </w:rPr>
        <w:footnoteRef/>
      </w:r>
      <w:r>
        <w:t xml:space="preserve"> [1991] 2 All ER 712, 724</w:t>
      </w:r>
    </w:p>
  </w:footnote>
  <w:footnote w:id="12">
    <w:p w14:paraId="41E1333A" w14:textId="77777777" w:rsidR="00F37460" w:rsidRDefault="00F37460" w:rsidP="00335703">
      <w:pPr>
        <w:pStyle w:val="FootnoteText"/>
      </w:pPr>
      <w:r>
        <w:rPr>
          <w:rStyle w:val="FootnoteReference"/>
        </w:rPr>
        <w:footnoteRef/>
      </w:r>
      <w:r>
        <w:t xml:space="preserve"> [2006] NZRMA 49 (HC)</w:t>
      </w:r>
    </w:p>
  </w:footnote>
  <w:footnote w:id="13">
    <w:p w14:paraId="19D9CBA3" w14:textId="27956C55" w:rsidR="00F37460" w:rsidRDefault="00F37460">
      <w:pPr>
        <w:pStyle w:val="FootnoteText"/>
      </w:pPr>
      <w:r>
        <w:rPr>
          <w:rStyle w:val="FootnoteReference"/>
        </w:rPr>
        <w:footnoteRef/>
      </w:r>
      <w:r>
        <w:t xml:space="preserve"> [2006] NZRMA 49 (HC)</w:t>
      </w:r>
    </w:p>
  </w:footnote>
  <w:footnote w:id="14">
    <w:p w14:paraId="0DBBB85D" w14:textId="77777777" w:rsidR="00F37460" w:rsidRPr="00D447D1" w:rsidRDefault="00F37460" w:rsidP="00FE36A0">
      <w:pPr>
        <w:pStyle w:val="FootnoteText"/>
      </w:pPr>
      <w:r>
        <w:rPr>
          <w:rStyle w:val="FootnoteReference"/>
        </w:rPr>
        <w:footnoteRef/>
      </w:r>
      <w:r>
        <w:t xml:space="preserve"> Above, fn.5.</w:t>
      </w:r>
    </w:p>
  </w:footnote>
  <w:footnote w:id="15">
    <w:p w14:paraId="2DAE5B7C" w14:textId="00A27D2A" w:rsidR="00F37460" w:rsidRDefault="00F37460">
      <w:pPr>
        <w:pStyle w:val="FootnoteText"/>
      </w:pPr>
      <w:r>
        <w:rPr>
          <w:rStyle w:val="FootnoteReference"/>
        </w:rPr>
        <w:footnoteRef/>
      </w:r>
      <w:r>
        <w:t xml:space="preserve"> [1992] 1 NZLE 438.</w:t>
      </w:r>
    </w:p>
  </w:footnote>
  <w:footnote w:id="16">
    <w:p w14:paraId="3FB022DA" w14:textId="5474A04F" w:rsidR="00F37460" w:rsidRDefault="00F37460" w:rsidP="001B2566">
      <w:pPr>
        <w:pStyle w:val="FootnoteText"/>
      </w:pPr>
      <w:r>
        <w:rPr>
          <w:rStyle w:val="FootnoteReference"/>
        </w:rPr>
        <w:footnoteRef/>
      </w:r>
      <w:r>
        <w:t xml:space="preserve"> Above, fn. 5.</w:t>
      </w:r>
    </w:p>
  </w:footnote>
  <w:footnote w:id="17">
    <w:p w14:paraId="084403EC" w14:textId="31206A58" w:rsidR="00F37460" w:rsidRDefault="00F37460">
      <w:pPr>
        <w:pStyle w:val="FootnoteText"/>
      </w:pPr>
      <w:r>
        <w:rPr>
          <w:rStyle w:val="FootnoteReference"/>
        </w:rPr>
        <w:footnoteRef/>
      </w:r>
      <w:r>
        <w:t xml:space="preserve"> Submissions of Counsel for the PCC at [1.2].</w:t>
      </w:r>
    </w:p>
  </w:footnote>
  <w:footnote w:id="18">
    <w:p w14:paraId="001AD3F9" w14:textId="168F27C0" w:rsidR="00F37460" w:rsidRDefault="00F37460">
      <w:pPr>
        <w:pStyle w:val="FootnoteText"/>
      </w:pPr>
      <w:r>
        <w:rPr>
          <w:rStyle w:val="FootnoteReference"/>
        </w:rPr>
        <w:footnoteRef/>
      </w:r>
      <w:r>
        <w:t xml:space="preserve"> Section 60, SWR Act.</w:t>
      </w:r>
    </w:p>
  </w:footnote>
  <w:footnote w:id="19">
    <w:p w14:paraId="3EC412CB" w14:textId="3E0D0BBB" w:rsidR="00F37460" w:rsidRDefault="00F37460">
      <w:pPr>
        <w:pStyle w:val="FootnoteText"/>
      </w:pPr>
      <w:r>
        <w:rPr>
          <w:rStyle w:val="FootnoteReference"/>
        </w:rPr>
        <w:footnoteRef/>
      </w:r>
      <w:r>
        <w:t xml:space="preserve"> Section 65, SWR Act.</w:t>
      </w:r>
    </w:p>
  </w:footnote>
  <w:footnote w:id="20">
    <w:p w14:paraId="71D90A37" w14:textId="77777777" w:rsidR="00F37460" w:rsidRDefault="00F37460" w:rsidP="00237D29">
      <w:pPr>
        <w:pStyle w:val="FootnoteText"/>
      </w:pPr>
      <w:r>
        <w:rPr>
          <w:rStyle w:val="FootnoteReference"/>
        </w:rPr>
        <w:footnoteRef/>
      </w:r>
      <w:r>
        <w:t xml:space="preserve"> Section 65, SWR Act.</w:t>
      </w:r>
    </w:p>
  </w:footnote>
  <w:footnote w:id="21">
    <w:p w14:paraId="5C794EBF" w14:textId="40591AFC" w:rsidR="00F37460" w:rsidRDefault="00F37460">
      <w:pPr>
        <w:pStyle w:val="FootnoteText"/>
      </w:pPr>
      <w:r>
        <w:rPr>
          <w:rStyle w:val="FootnoteReference"/>
        </w:rPr>
        <w:footnoteRef/>
      </w:r>
      <w:r>
        <w:t xml:space="preserve"> Section 71(1)(c), SWR Act.</w:t>
      </w:r>
    </w:p>
  </w:footnote>
  <w:footnote w:id="22">
    <w:p w14:paraId="2E69CD87" w14:textId="4221E4CE" w:rsidR="00F37460" w:rsidRDefault="00F37460" w:rsidP="00237D29">
      <w:pPr>
        <w:pStyle w:val="FootnoteText"/>
      </w:pPr>
      <w:r>
        <w:rPr>
          <w:rStyle w:val="FootnoteReference"/>
        </w:rPr>
        <w:footnoteRef/>
      </w:r>
      <w:r>
        <w:t xml:space="preserve"> Section 75 (1) and (2)(a), SWR Act.</w:t>
      </w:r>
    </w:p>
  </w:footnote>
  <w:footnote w:id="23">
    <w:p w14:paraId="51297228" w14:textId="1ADD994E" w:rsidR="00F37460" w:rsidRDefault="00F37460">
      <w:pPr>
        <w:pStyle w:val="FootnoteText"/>
      </w:pPr>
      <w:r>
        <w:rPr>
          <w:rStyle w:val="FootnoteReference"/>
        </w:rPr>
        <w:footnoteRef/>
      </w:r>
      <w:r>
        <w:t xml:space="preserve"> Sections 82 and 83, SWR Act. Such a finding would be grounds for judicial review of a PCC’s determination to lay a charge.</w:t>
      </w:r>
    </w:p>
  </w:footnote>
  <w:footnote w:id="24">
    <w:p w14:paraId="07666A03" w14:textId="105A47FA" w:rsidR="00F37460" w:rsidRPr="00966846" w:rsidRDefault="00F37460">
      <w:pPr>
        <w:pStyle w:val="FootnoteText"/>
      </w:pPr>
      <w:r>
        <w:rPr>
          <w:rStyle w:val="FootnoteReference"/>
        </w:rPr>
        <w:footnoteRef/>
      </w:r>
      <w:r>
        <w:t xml:space="preserve"> </w:t>
      </w:r>
      <w:r>
        <w:rPr>
          <w:i/>
          <w:iCs/>
        </w:rPr>
        <w:t xml:space="preserve">F v MPDT and CAC </w:t>
      </w:r>
      <w:r>
        <w:t>(Court of Appeal, CA203/04).</w:t>
      </w:r>
    </w:p>
  </w:footnote>
  <w:footnote w:id="25">
    <w:p w14:paraId="663D923B" w14:textId="7C4429C6" w:rsidR="00F37460" w:rsidRDefault="00F37460">
      <w:pPr>
        <w:pStyle w:val="FootnoteText"/>
      </w:pPr>
      <w:r>
        <w:rPr>
          <w:rStyle w:val="FootnoteReference"/>
        </w:rPr>
        <w:footnoteRef/>
      </w:r>
      <w:r>
        <w:t xml:space="preserve"> Section 82(2)(a). It is acknowledged that section 105 provides that a Code of Conduct issued and maintained by the Board to cover minimum standards of integrity and conduct appl</w:t>
      </w:r>
      <w:r w:rsidR="00C82CEC">
        <w:t xml:space="preserve">ies </w:t>
      </w:r>
      <w:r>
        <w:t>to “social workers” (which must mean registered social workers given the definition in sect</w:t>
      </w:r>
      <w:r w:rsidR="00895B06">
        <w:t>ion 4) and that those standards</w:t>
      </w:r>
      <w:r>
        <w:t xml:space="preserve"> “</w:t>
      </w:r>
      <w:r w:rsidRPr="00DC1CFC">
        <w:rPr>
          <w:i/>
          <w:iCs/>
        </w:rPr>
        <w:t>should</w:t>
      </w:r>
      <w:r>
        <w:t xml:space="preserve"> apply generally in the social work profession”. </w:t>
      </w:r>
    </w:p>
  </w:footnote>
  <w:footnote w:id="26">
    <w:p w14:paraId="5465F67E" w14:textId="1422E487" w:rsidR="00F37460" w:rsidRDefault="00F37460">
      <w:pPr>
        <w:pStyle w:val="FootnoteText"/>
      </w:pPr>
      <w:r>
        <w:rPr>
          <w:rStyle w:val="FootnoteReference"/>
        </w:rPr>
        <w:footnoteRef/>
      </w:r>
      <w:r>
        <w:t xml:space="preserve"> Sections 6 and 7 provide that one of the criteria to be registered is that the applicant is a fit and proper person to practise social work. See also sections 13, 14 and 15. Pre-registration convictions are relevant to the question of whether the applicant is a fit and proper person to practise social work (section 47(2)(c)),</w:t>
      </w:r>
      <w:r w:rsidR="00697F5D">
        <w:t xml:space="preserve"> SWR Act.</w:t>
      </w:r>
    </w:p>
  </w:footnote>
  <w:footnote w:id="27">
    <w:p w14:paraId="291277F7" w14:textId="233C87F6" w:rsidR="00F37460" w:rsidRDefault="00F37460">
      <w:pPr>
        <w:pStyle w:val="FootnoteText"/>
      </w:pPr>
      <w:r>
        <w:rPr>
          <w:rStyle w:val="FootnoteReference"/>
        </w:rPr>
        <w:footnoteRef/>
      </w:r>
      <w:r>
        <w:t xml:space="preserve"> It is noted that section 47(30) provides that </w:t>
      </w:r>
      <w:r w:rsidRPr="00C95327">
        <w:rPr>
          <w:b/>
          <w:bCs/>
        </w:rPr>
        <w:t>in the case only of an applicant for registration</w:t>
      </w:r>
      <w:r>
        <w:rPr>
          <w:b/>
          <w:bCs/>
        </w:rPr>
        <w:t xml:space="preserve"> </w:t>
      </w:r>
      <w:r w:rsidRPr="00C95327">
        <w:t>[emphasis added]</w:t>
      </w:r>
      <w:r>
        <w:t>, the Board may reserve its decision on whether an applicant is a fit and proper person to practise social work if it is satisfied (a) that (</w:t>
      </w:r>
      <w:proofErr w:type="spellStart"/>
      <w:r>
        <w:t>i</w:t>
      </w:r>
      <w:proofErr w:type="spellEnd"/>
      <w:r>
        <w:t>) professional disciplinary proceedings are being taken against him or her (whether in New Zealand or overseas); or (ii) a licensing or registration organisation (whether in New Zealand or overseas) is making investigations that may lead to the taking of professional disciplinary proceedings against him or her; or (iii) the Health and Disability Commissioner is making investigations that may lead to the taking of professional disciplinary proceedings against him or her; and (b) that the circumstances suggest a reasonable possibility that he or she is not a fit and proper person to practise social work. The reference to professional disciplinary proceedings in section 47(3) cannot be a reference to professional disciplinary proceedings under the SWR Act as such proceedings can only be brought against a registered social worker of which an applicant for registration is not.</w:t>
      </w:r>
    </w:p>
  </w:footnote>
  <w:footnote w:id="28">
    <w:p w14:paraId="5051BB97" w14:textId="04C4E907" w:rsidR="00F37460" w:rsidRDefault="00F37460">
      <w:pPr>
        <w:pStyle w:val="FootnoteText"/>
      </w:pPr>
      <w:r>
        <w:rPr>
          <w:rStyle w:val="FootnoteReference"/>
        </w:rPr>
        <w:footnoteRef/>
      </w:r>
      <w:r>
        <w:t xml:space="preserve"> It is understood by the Tribunal that the facts are admitted.</w:t>
      </w:r>
    </w:p>
  </w:footnote>
  <w:footnote w:id="29">
    <w:p w14:paraId="6F1AEE09" w14:textId="059433C5" w:rsidR="00F37460" w:rsidRDefault="00F37460">
      <w:pPr>
        <w:pStyle w:val="FootnoteText"/>
      </w:pPr>
      <w:r>
        <w:rPr>
          <w:rStyle w:val="FootnoteReference"/>
        </w:rPr>
        <w:footnoteRef/>
      </w:r>
      <w:r>
        <w:t xml:space="preserve"> Section 132, SWR Act.</w:t>
      </w:r>
    </w:p>
  </w:footnote>
  <w:footnote w:id="30">
    <w:p w14:paraId="04CC3C57" w14:textId="01CE9D91" w:rsidR="00F37460" w:rsidRDefault="00F37460">
      <w:pPr>
        <w:pStyle w:val="FootnoteText"/>
      </w:pPr>
      <w:r>
        <w:rPr>
          <w:rStyle w:val="FootnoteReference"/>
        </w:rPr>
        <w:footnoteRef/>
      </w:r>
      <w:r>
        <w:t xml:space="preserve"> Section 6, SWR Act.</w:t>
      </w:r>
    </w:p>
  </w:footnote>
  <w:footnote w:id="31">
    <w:p w14:paraId="41F13827" w14:textId="2AFE17F6" w:rsidR="00F37460" w:rsidRPr="00D235E9" w:rsidRDefault="00F37460">
      <w:pPr>
        <w:pStyle w:val="FootnoteText"/>
      </w:pPr>
      <w:r>
        <w:rPr>
          <w:rStyle w:val="FootnoteReference"/>
        </w:rPr>
        <w:footnoteRef/>
      </w:r>
      <w:r>
        <w:t xml:space="preserve"> PCC v </w:t>
      </w:r>
      <w:r>
        <w:rPr>
          <w:i/>
          <w:iCs/>
        </w:rPr>
        <w:t>RSW [name suppressed],</w:t>
      </w:r>
      <w:r w:rsidR="0043015B">
        <w:t xml:space="preserve"> RSW7/</w:t>
      </w:r>
      <w:r w:rsidR="00270DC8">
        <w:t>SWCDT</w:t>
      </w:r>
      <w:r>
        <w:rPr>
          <w:i/>
          <w:iCs/>
        </w:rPr>
        <w:t xml:space="preserve"> </w:t>
      </w:r>
      <w:r w:rsidRPr="00D235E9">
        <w:t>30 October 2020</w:t>
      </w:r>
      <w:r>
        <w:t>.</w:t>
      </w:r>
    </w:p>
  </w:footnote>
  <w:footnote w:id="32">
    <w:p w14:paraId="1B3F89DD" w14:textId="113283E1" w:rsidR="00F37460" w:rsidRDefault="00F37460">
      <w:pPr>
        <w:pStyle w:val="FootnoteText"/>
      </w:pPr>
      <w:r>
        <w:rPr>
          <w:rStyle w:val="FootnoteReference"/>
        </w:rPr>
        <w:footnoteRef/>
      </w:r>
      <w:r>
        <w:t xml:space="preserve"> Clause 5 (3) and Clause 5(1), Schedule 2 of the SWR Act.</w:t>
      </w:r>
    </w:p>
  </w:footnote>
  <w:footnote w:id="33">
    <w:p w14:paraId="69D56C7E" w14:textId="2AA5A026" w:rsidR="00F37460" w:rsidRPr="002D3638" w:rsidRDefault="00F37460">
      <w:pPr>
        <w:pStyle w:val="FootnoteText"/>
      </w:pPr>
      <w:r>
        <w:rPr>
          <w:rStyle w:val="FootnoteReference"/>
        </w:rPr>
        <w:footnoteRef/>
      </w:r>
      <w:r>
        <w:t xml:space="preserve"> </w:t>
      </w:r>
      <w:r>
        <w:rPr>
          <w:i/>
          <w:iCs/>
        </w:rPr>
        <w:t xml:space="preserve">Z v Complaints Assessment Committee </w:t>
      </w:r>
      <w:r>
        <w:t>[2009] 1 NZLR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A15A" w14:textId="77777777" w:rsidR="00895B06" w:rsidRPr="00DB565D" w:rsidRDefault="00895B06" w:rsidP="00895B06">
    <w:pPr>
      <w:spacing w:after="120"/>
      <w:ind w:left="-1077" w:firstLine="1077"/>
      <w:rPr>
        <w:rFonts w:ascii="Arial Narrow" w:hAnsi="Arial Narrow" w:cs="Calibri"/>
        <w:b/>
        <w:color w:val="0070C0"/>
        <w:szCs w:val="24"/>
      </w:rPr>
    </w:pPr>
    <w:r w:rsidRPr="00DB565D">
      <w:rPr>
        <w:rFonts w:ascii="Arial Narrow" w:hAnsi="Arial Narrow" w:cs="Calibri"/>
        <w:b/>
        <w:color w:val="0070C0"/>
        <w:sz w:val="32"/>
        <w:szCs w:val="32"/>
      </w:rPr>
      <w:t>Social Workers Complaints and Disciplinary Tribunal</w:t>
    </w:r>
  </w:p>
  <w:p w14:paraId="7366F0E7" w14:textId="77777777" w:rsidR="00895B06" w:rsidRPr="00DB565D" w:rsidRDefault="00895B06" w:rsidP="00895B06">
    <w:pPr>
      <w:spacing w:after="120"/>
      <w:ind w:left="-1077" w:firstLine="1077"/>
      <w:rPr>
        <w:rFonts w:ascii="Arial Narrow" w:hAnsi="Arial Narrow" w:cs="Calibri"/>
        <w:color w:val="0070C0"/>
      </w:rPr>
    </w:pPr>
    <w:r w:rsidRPr="00DB565D">
      <w:rPr>
        <w:rFonts w:ascii="Arial Narrow" w:hAnsi="Arial Narrow" w:cs="Calibri"/>
        <w:b/>
        <w:color w:val="0070C0"/>
        <w:szCs w:val="24"/>
      </w:rPr>
      <w:t>Social Workers Registration Act 2003</w:t>
    </w:r>
  </w:p>
  <w:p w14:paraId="518046FD" w14:textId="77777777" w:rsidR="00895B06" w:rsidRDefault="00895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0EE2" w14:textId="77777777" w:rsidR="00895B06" w:rsidRDefault="00895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FC3"/>
    <w:multiLevelType w:val="hybridMultilevel"/>
    <w:tmpl w:val="25F8FF9C"/>
    <w:lvl w:ilvl="0" w:tplc="AC8E3184">
      <w:start w:val="1"/>
      <w:numFmt w:val="lowerRoman"/>
      <w:lvlText w:val="(%1)"/>
      <w:lvlJc w:val="left"/>
      <w:pPr>
        <w:ind w:left="2517" w:hanging="720"/>
      </w:pPr>
      <w:rPr>
        <w:rFonts w:hint="default"/>
      </w:rPr>
    </w:lvl>
    <w:lvl w:ilvl="1" w:tplc="14090019" w:tentative="1">
      <w:start w:val="1"/>
      <w:numFmt w:val="lowerLetter"/>
      <w:lvlText w:val="%2."/>
      <w:lvlJc w:val="left"/>
      <w:pPr>
        <w:ind w:left="2877" w:hanging="360"/>
      </w:pPr>
    </w:lvl>
    <w:lvl w:ilvl="2" w:tplc="1409001B" w:tentative="1">
      <w:start w:val="1"/>
      <w:numFmt w:val="lowerRoman"/>
      <w:lvlText w:val="%3."/>
      <w:lvlJc w:val="right"/>
      <w:pPr>
        <w:ind w:left="3597" w:hanging="180"/>
      </w:pPr>
    </w:lvl>
    <w:lvl w:ilvl="3" w:tplc="1409000F" w:tentative="1">
      <w:start w:val="1"/>
      <w:numFmt w:val="decimal"/>
      <w:lvlText w:val="%4."/>
      <w:lvlJc w:val="left"/>
      <w:pPr>
        <w:ind w:left="4317" w:hanging="360"/>
      </w:pPr>
    </w:lvl>
    <w:lvl w:ilvl="4" w:tplc="14090019" w:tentative="1">
      <w:start w:val="1"/>
      <w:numFmt w:val="lowerLetter"/>
      <w:lvlText w:val="%5."/>
      <w:lvlJc w:val="left"/>
      <w:pPr>
        <w:ind w:left="5037" w:hanging="360"/>
      </w:pPr>
    </w:lvl>
    <w:lvl w:ilvl="5" w:tplc="1409001B" w:tentative="1">
      <w:start w:val="1"/>
      <w:numFmt w:val="lowerRoman"/>
      <w:lvlText w:val="%6."/>
      <w:lvlJc w:val="right"/>
      <w:pPr>
        <w:ind w:left="5757" w:hanging="180"/>
      </w:pPr>
    </w:lvl>
    <w:lvl w:ilvl="6" w:tplc="1409000F" w:tentative="1">
      <w:start w:val="1"/>
      <w:numFmt w:val="decimal"/>
      <w:lvlText w:val="%7."/>
      <w:lvlJc w:val="left"/>
      <w:pPr>
        <w:ind w:left="6477" w:hanging="360"/>
      </w:pPr>
    </w:lvl>
    <w:lvl w:ilvl="7" w:tplc="14090019" w:tentative="1">
      <w:start w:val="1"/>
      <w:numFmt w:val="lowerLetter"/>
      <w:lvlText w:val="%8."/>
      <w:lvlJc w:val="left"/>
      <w:pPr>
        <w:ind w:left="7197" w:hanging="360"/>
      </w:pPr>
    </w:lvl>
    <w:lvl w:ilvl="8" w:tplc="1409001B" w:tentative="1">
      <w:start w:val="1"/>
      <w:numFmt w:val="lowerRoman"/>
      <w:lvlText w:val="%9."/>
      <w:lvlJc w:val="right"/>
      <w:pPr>
        <w:ind w:left="7917" w:hanging="180"/>
      </w:pPr>
    </w:lvl>
  </w:abstractNum>
  <w:abstractNum w:abstractNumId="1" w15:restartNumberingAfterBreak="0">
    <w:nsid w:val="10414317"/>
    <w:multiLevelType w:val="hybridMultilevel"/>
    <w:tmpl w:val="9894DD42"/>
    <w:lvl w:ilvl="0" w:tplc="A9580B9A">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15:restartNumberingAfterBreak="0">
    <w:nsid w:val="207F5E40"/>
    <w:multiLevelType w:val="hybridMultilevel"/>
    <w:tmpl w:val="E9866136"/>
    <w:lvl w:ilvl="0" w:tplc="ED06AB5E">
      <w:start w:val="1"/>
      <w:numFmt w:val="lowerLetter"/>
      <w:lvlText w:val="(%1)"/>
      <w:lvlJc w:val="left"/>
      <w:pPr>
        <w:ind w:left="1797" w:hanging="360"/>
      </w:pPr>
      <w:rPr>
        <w:rFonts w:hint="default"/>
      </w:rPr>
    </w:lvl>
    <w:lvl w:ilvl="1" w:tplc="14090019">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3" w15:restartNumberingAfterBreak="0">
    <w:nsid w:val="30A01B59"/>
    <w:multiLevelType w:val="hybridMultilevel"/>
    <w:tmpl w:val="7BEA31C2"/>
    <w:lvl w:ilvl="0" w:tplc="FF6A0B28">
      <w:start w:val="1"/>
      <w:numFmt w:val="lowerLetter"/>
      <w:lvlText w:val="(%1)"/>
      <w:lvlJc w:val="left"/>
      <w:pPr>
        <w:ind w:left="1797" w:hanging="360"/>
      </w:pPr>
      <w:rPr>
        <w:rFonts w:hint="default"/>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4" w15:restartNumberingAfterBreak="0">
    <w:nsid w:val="30E34159"/>
    <w:multiLevelType w:val="hybridMultilevel"/>
    <w:tmpl w:val="DFC0715E"/>
    <w:lvl w:ilvl="0" w:tplc="4F68CC08">
      <w:start w:val="3"/>
      <w:numFmt w:val="bullet"/>
      <w:lvlText w:val="-"/>
      <w:lvlJc w:val="left"/>
      <w:pPr>
        <w:ind w:left="927" w:hanging="360"/>
      </w:pPr>
      <w:rPr>
        <w:rFonts w:ascii="Calibri" w:eastAsia="Times" w:hAnsi="Calibri" w:cs="Calibri"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5" w15:restartNumberingAfterBreak="0">
    <w:nsid w:val="32EF4331"/>
    <w:multiLevelType w:val="hybridMultilevel"/>
    <w:tmpl w:val="05E8D600"/>
    <w:lvl w:ilvl="0" w:tplc="3950256C">
      <w:start w:val="1"/>
      <w:numFmt w:val="lowerRoman"/>
      <w:lvlText w:val="(%1)"/>
      <w:lvlJc w:val="left"/>
      <w:pPr>
        <w:ind w:left="2517" w:hanging="720"/>
      </w:pPr>
      <w:rPr>
        <w:rFonts w:hint="default"/>
      </w:rPr>
    </w:lvl>
    <w:lvl w:ilvl="1" w:tplc="14090019" w:tentative="1">
      <w:start w:val="1"/>
      <w:numFmt w:val="lowerLetter"/>
      <w:lvlText w:val="%2."/>
      <w:lvlJc w:val="left"/>
      <w:pPr>
        <w:ind w:left="2877" w:hanging="360"/>
      </w:pPr>
    </w:lvl>
    <w:lvl w:ilvl="2" w:tplc="1409001B" w:tentative="1">
      <w:start w:val="1"/>
      <w:numFmt w:val="lowerRoman"/>
      <w:lvlText w:val="%3."/>
      <w:lvlJc w:val="right"/>
      <w:pPr>
        <w:ind w:left="3597" w:hanging="180"/>
      </w:pPr>
    </w:lvl>
    <w:lvl w:ilvl="3" w:tplc="1409000F" w:tentative="1">
      <w:start w:val="1"/>
      <w:numFmt w:val="decimal"/>
      <w:lvlText w:val="%4."/>
      <w:lvlJc w:val="left"/>
      <w:pPr>
        <w:ind w:left="4317" w:hanging="360"/>
      </w:pPr>
    </w:lvl>
    <w:lvl w:ilvl="4" w:tplc="14090019" w:tentative="1">
      <w:start w:val="1"/>
      <w:numFmt w:val="lowerLetter"/>
      <w:lvlText w:val="%5."/>
      <w:lvlJc w:val="left"/>
      <w:pPr>
        <w:ind w:left="5037" w:hanging="360"/>
      </w:pPr>
    </w:lvl>
    <w:lvl w:ilvl="5" w:tplc="1409001B" w:tentative="1">
      <w:start w:val="1"/>
      <w:numFmt w:val="lowerRoman"/>
      <w:lvlText w:val="%6."/>
      <w:lvlJc w:val="right"/>
      <w:pPr>
        <w:ind w:left="5757" w:hanging="180"/>
      </w:pPr>
    </w:lvl>
    <w:lvl w:ilvl="6" w:tplc="1409000F" w:tentative="1">
      <w:start w:val="1"/>
      <w:numFmt w:val="decimal"/>
      <w:lvlText w:val="%7."/>
      <w:lvlJc w:val="left"/>
      <w:pPr>
        <w:ind w:left="6477" w:hanging="360"/>
      </w:pPr>
    </w:lvl>
    <w:lvl w:ilvl="7" w:tplc="14090019" w:tentative="1">
      <w:start w:val="1"/>
      <w:numFmt w:val="lowerLetter"/>
      <w:lvlText w:val="%8."/>
      <w:lvlJc w:val="left"/>
      <w:pPr>
        <w:ind w:left="7197" w:hanging="360"/>
      </w:pPr>
    </w:lvl>
    <w:lvl w:ilvl="8" w:tplc="1409001B" w:tentative="1">
      <w:start w:val="1"/>
      <w:numFmt w:val="lowerRoman"/>
      <w:lvlText w:val="%9."/>
      <w:lvlJc w:val="right"/>
      <w:pPr>
        <w:ind w:left="7917" w:hanging="180"/>
      </w:pPr>
    </w:lvl>
  </w:abstractNum>
  <w:abstractNum w:abstractNumId="6" w15:restartNumberingAfterBreak="0">
    <w:nsid w:val="37922CAE"/>
    <w:multiLevelType w:val="hybridMultilevel"/>
    <w:tmpl w:val="893E82AA"/>
    <w:lvl w:ilvl="0" w:tplc="FB7690AA">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392D1FC0"/>
    <w:multiLevelType w:val="hybridMultilevel"/>
    <w:tmpl w:val="87C06D9A"/>
    <w:lvl w:ilvl="0" w:tplc="C1741574">
      <w:start w:val="1"/>
      <w:numFmt w:val="lowerRoman"/>
      <w:lvlText w:val="(%1)"/>
      <w:lvlJc w:val="left"/>
      <w:pPr>
        <w:ind w:left="2517" w:hanging="720"/>
      </w:pPr>
      <w:rPr>
        <w:rFonts w:hint="default"/>
      </w:rPr>
    </w:lvl>
    <w:lvl w:ilvl="1" w:tplc="14090019" w:tentative="1">
      <w:start w:val="1"/>
      <w:numFmt w:val="lowerLetter"/>
      <w:lvlText w:val="%2."/>
      <w:lvlJc w:val="left"/>
      <w:pPr>
        <w:ind w:left="2877" w:hanging="360"/>
      </w:pPr>
    </w:lvl>
    <w:lvl w:ilvl="2" w:tplc="1409001B" w:tentative="1">
      <w:start w:val="1"/>
      <w:numFmt w:val="lowerRoman"/>
      <w:lvlText w:val="%3."/>
      <w:lvlJc w:val="right"/>
      <w:pPr>
        <w:ind w:left="3597" w:hanging="180"/>
      </w:pPr>
    </w:lvl>
    <w:lvl w:ilvl="3" w:tplc="1409000F" w:tentative="1">
      <w:start w:val="1"/>
      <w:numFmt w:val="decimal"/>
      <w:lvlText w:val="%4."/>
      <w:lvlJc w:val="left"/>
      <w:pPr>
        <w:ind w:left="4317" w:hanging="360"/>
      </w:pPr>
    </w:lvl>
    <w:lvl w:ilvl="4" w:tplc="14090019" w:tentative="1">
      <w:start w:val="1"/>
      <w:numFmt w:val="lowerLetter"/>
      <w:lvlText w:val="%5."/>
      <w:lvlJc w:val="left"/>
      <w:pPr>
        <w:ind w:left="5037" w:hanging="360"/>
      </w:pPr>
    </w:lvl>
    <w:lvl w:ilvl="5" w:tplc="1409001B" w:tentative="1">
      <w:start w:val="1"/>
      <w:numFmt w:val="lowerRoman"/>
      <w:lvlText w:val="%6."/>
      <w:lvlJc w:val="right"/>
      <w:pPr>
        <w:ind w:left="5757" w:hanging="180"/>
      </w:pPr>
    </w:lvl>
    <w:lvl w:ilvl="6" w:tplc="1409000F" w:tentative="1">
      <w:start w:val="1"/>
      <w:numFmt w:val="decimal"/>
      <w:lvlText w:val="%7."/>
      <w:lvlJc w:val="left"/>
      <w:pPr>
        <w:ind w:left="6477" w:hanging="360"/>
      </w:pPr>
    </w:lvl>
    <w:lvl w:ilvl="7" w:tplc="14090019" w:tentative="1">
      <w:start w:val="1"/>
      <w:numFmt w:val="lowerLetter"/>
      <w:lvlText w:val="%8."/>
      <w:lvlJc w:val="left"/>
      <w:pPr>
        <w:ind w:left="7197" w:hanging="360"/>
      </w:pPr>
    </w:lvl>
    <w:lvl w:ilvl="8" w:tplc="1409001B" w:tentative="1">
      <w:start w:val="1"/>
      <w:numFmt w:val="lowerRoman"/>
      <w:lvlText w:val="%9."/>
      <w:lvlJc w:val="right"/>
      <w:pPr>
        <w:ind w:left="7917" w:hanging="180"/>
      </w:pPr>
    </w:lvl>
  </w:abstractNum>
  <w:abstractNum w:abstractNumId="8" w15:restartNumberingAfterBreak="0">
    <w:nsid w:val="412C00CE"/>
    <w:multiLevelType w:val="hybridMultilevel"/>
    <w:tmpl w:val="87763C4C"/>
    <w:lvl w:ilvl="0" w:tplc="D3141BC4">
      <w:start w:val="1"/>
      <w:numFmt w:val="lowerLetter"/>
      <w:lvlText w:val="(%1)"/>
      <w:lvlJc w:val="left"/>
      <w:pPr>
        <w:ind w:left="1777" w:hanging="360"/>
      </w:pPr>
      <w:rPr>
        <w:rFonts w:hint="default"/>
      </w:rPr>
    </w:lvl>
    <w:lvl w:ilvl="1" w:tplc="14090019" w:tentative="1">
      <w:start w:val="1"/>
      <w:numFmt w:val="lowerLetter"/>
      <w:lvlText w:val="%2."/>
      <w:lvlJc w:val="left"/>
      <w:pPr>
        <w:ind w:left="2497" w:hanging="360"/>
      </w:pPr>
    </w:lvl>
    <w:lvl w:ilvl="2" w:tplc="1409001B" w:tentative="1">
      <w:start w:val="1"/>
      <w:numFmt w:val="lowerRoman"/>
      <w:lvlText w:val="%3."/>
      <w:lvlJc w:val="right"/>
      <w:pPr>
        <w:ind w:left="3217" w:hanging="180"/>
      </w:pPr>
    </w:lvl>
    <w:lvl w:ilvl="3" w:tplc="1409000F" w:tentative="1">
      <w:start w:val="1"/>
      <w:numFmt w:val="decimal"/>
      <w:lvlText w:val="%4."/>
      <w:lvlJc w:val="left"/>
      <w:pPr>
        <w:ind w:left="3937" w:hanging="360"/>
      </w:pPr>
    </w:lvl>
    <w:lvl w:ilvl="4" w:tplc="14090019" w:tentative="1">
      <w:start w:val="1"/>
      <w:numFmt w:val="lowerLetter"/>
      <w:lvlText w:val="%5."/>
      <w:lvlJc w:val="left"/>
      <w:pPr>
        <w:ind w:left="4657" w:hanging="360"/>
      </w:pPr>
    </w:lvl>
    <w:lvl w:ilvl="5" w:tplc="1409001B" w:tentative="1">
      <w:start w:val="1"/>
      <w:numFmt w:val="lowerRoman"/>
      <w:lvlText w:val="%6."/>
      <w:lvlJc w:val="right"/>
      <w:pPr>
        <w:ind w:left="5377" w:hanging="180"/>
      </w:pPr>
    </w:lvl>
    <w:lvl w:ilvl="6" w:tplc="1409000F" w:tentative="1">
      <w:start w:val="1"/>
      <w:numFmt w:val="decimal"/>
      <w:lvlText w:val="%7."/>
      <w:lvlJc w:val="left"/>
      <w:pPr>
        <w:ind w:left="6097" w:hanging="360"/>
      </w:pPr>
    </w:lvl>
    <w:lvl w:ilvl="7" w:tplc="14090019" w:tentative="1">
      <w:start w:val="1"/>
      <w:numFmt w:val="lowerLetter"/>
      <w:lvlText w:val="%8."/>
      <w:lvlJc w:val="left"/>
      <w:pPr>
        <w:ind w:left="6817" w:hanging="360"/>
      </w:pPr>
    </w:lvl>
    <w:lvl w:ilvl="8" w:tplc="1409001B" w:tentative="1">
      <w:start w:val="1"/>
      <w:numFmt w:val="lowerRoman"/>
      <w:lvlText w:val="%9."/>
      <w:lvlJc w:val="right"/>
      <w:pPr>
        <w:ind w:left="7537" w:hanging="180"/>
      </w:pPr>
    </w:lvl>
  </w:abstractNum>
  <w:abstractNum w:abstractNumId="9" w15:restartNumberingAfterBreak="0">
    <w:nsid w:val="48AE7672"/>
    <w:multiLevelType w:val="hybridMultilevel"/>
    <w:tmpl w:val="F4ACFAFE"/>
    <w:lvl w:ilvl="0" w:tplc="A1723DB0">
      <w:start w:val="1"/>
      <w:numFmt w:val="lowerRoman"/>
      <w:lvlText w:val="(%1)"/>
      <w:lvlJc w:val="left"/>
      <w:pPr>
        <w:ind w:left="2517" w:hanging="720"/>
      </w:pPr>
      <w:rPr>
        <w:rFonts w:hint="default"/>
      </w:rPr>
    </w:lvl>
    <w:lvl w:ilvl="1" w:tplc="14090019" w:tentative="1">
      <w:start w:val="1"/>
      <w:numFmt w:val="lowerLetter"/>
      <w:lvlText w:val="%2."/>
      <w:lvlJc w:val="left"/>
      <w:pPr>
        <w:ind w:left="2877" w:hanging="360"/>
      </w:pPr>
    </w:lvl>
    <w:lvl w:ilvl="2" w:tplc="1409001B" w:tentative="1">
      <w:start w:val="1"/>
      <w:numFmt w:val="lowerRoman"/>
      <w:lvlText w:val="%3."/>
      <w:lvlJc w:val="right"/>
      <w:pPr>
        <w:ind w:left="3597" w:hanging="180"/>
      </w:pPr>
    </w:lvl>
    <w:lvl w:ilvl="3" w:tplc="1409000F" w:tentative="1">
      <w:start w:val="1"/>
      <w:numFmt w:val="decimal"/>
      <w:lvlText w:val="%4."/>
      <w:lvlJc w:val="left"/>
      <w:pPr>
        <w:ind w:left="4317" w:hanging="360"/>
      </w:pPr>
    </w:lvl>
    <w:lvl w:ilvl="4" w:tplc="14090019" w:tentative="1">
      <w:start w:val="1"/>
      <w:numFmt w:val="lowerLetter"/>
      <w:lvlText w:val="%5."/>
      <w:lvlJc w:val="left"/>
      <w:pPr>
        <w:ind w:left="5037" w:hanging="360"/>
      </w:pPr>
    </w:lvl>
    <w:lvl w:ilvl="5" w:tplc="1409001B" w:tentative="1">
      <w:start w:val="1"/>
      <w:numFmt w:val="lowerRoman"/>
      <w:lvlText w:val="%6."/>
      <w:lvlJc w:val="right"/>
      <w:pPr>
        <w:ind w:left="5757" w:hanging="180"/>
      </w:pPr>
    </w:lvl>
    <w:lvl w:ilvl="6" w:tplc="1409000F" w:tentative="1">
      <w:start w:val="1"/>
      <w:numFmt w:val="decimal"/>
      <w:lvlText w:val="%7."/>
      <w:lvlJc w:val="left"/>
      <w:pPr>
        <w:ind w:left="6477" w:hanging="360"/>
      </w:pPr>
    </w:lvl>
    <w:lvl w:ilvl="7" w:tplc="14090019" w:tentative="1">
      <w:start w:val="1"/>
      <w:numFmt w:val="lowerLetter"/>
      <w:lvlText w:val="%8."/>
      <w:lvlJc w:val="left"/>
      <w:pPr>
        <w:ind w:left="7197" w:hanging="360"/>
      </w:pPr>
    </w:lvl>
    <w:lvl w:ilvl="8" w:tplc="1409001B" w:tentative="1">
      <w:start w:val="1"/>
      <w:numFmt w:val="lowerRoman"/>
      <w:lvlText w:val="%9."/>
      <w:lvlJc w:val="right"/>
      <w:pPr>
        <w:ind w:left="7917" w:hanging="180"/>
      </w:pPr>
    </w:lvl>
  </w:abstractNum>
  <w:abstractNum w:abstractNumId="10" w15:restartNumberingAfterBreak="0">
    <w:nsid w:val="583F3F98"/>
    <w:multiLevelType w:val="hybridMultilevel"/>
    <w:tmpl w:val="8564C88A"/>
    <w:lvl w:ilvl="0" w:tplc="C5922144">
      <w:start w:val="1"/>
      <w:numFmt w:val="lowerLetter"/>
      <w:lvlText w:val="(%1)"/>
      <w:lvlJc w:val="left"/>
      <w:pPr>
        <w:ind w:left="1797" w:hanging="360"/>
      </w:pPr>
      <w:rPr>
        <w:rFonts w:hint="default"/>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11" w15:restartNumberingAfterBreak="0">
    <w:nsid w:val="5EA0663A"/>
    <w:multiLevelType w:val="hybridMultilevel"/>
    <w:tmpl w:val="A9F6E8F4"/>
    <w:lvl w:ilvl="0" w:tplc="8BE2ECBC">
      <w:start w:val="1"/>
      <w:numFmt w:val="lowerLetter"/>
      <w:lvlText w:val="(%1)"/>
      <w:lvlJc w:val="left"/>
      <w:pPr>
        <w:ind w:left="1797" w:hanging="360"/>
      </w:pPr>
      <w:rPr>
        <w:rFonts w:ascii="Calibri" w:eastAsia="Times" w:hAnsi="Calibri" w:cs="Calibri"/>
      </w:rPr>
    </w:lvl>
    <w:lvl w:ilvl="1" w:tplc="14090019">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12" w15:restartNumberingAfterBreak="0">
    <w:nsid w:val="5F9E7686"/>
    <w:multiLevelType w:val="hybridMultilevel"/>
    <w:tmpl w:val="1A6AB81A"/>
    <w:lvl w:ilvl="0" w:tplc="DC066F5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1D0339F"/>
    <w:multiLevelType w:val="hybridMultilevel"/>
    <w:tmpl w:val="CB82E47C"/>
    <w:lvl w:ilvl="0" w:tplc="B254F894">
      <w:start w:val="1"/>
      <w:numFmt w:val="lowerRoman"/>
      <w:lvlText w:val="(%1)"/>
      <w:lvlJc w:val="left"/>
      <w:pPr>
        <w:ind w:left="2517" w:hanging="720"/>
      </w:pPr>
      <w:rPr>
        <w:rFonts w:hint="default"/>
      </w:rPr>
    </w:lvl>
    <w:lvl w:ilvl="1" w:tplc="14090019" w:tentative="1">
      <w:start w:val="1"/>
      <w:numFmt w:val="lowerLetter"/>
      <w:lvlText w:val="%2."/>
      <w:lvlJc w:val="left"/>
      <w:pPr>
        <w:ind w:left="2877" w:hanging="360"/>
      </w:pPr>
    </w:lvl>
    <w:lvl w:ilvl="2" w:tplc="1409001B" w:tentative="1">
      <w:start w:val="1"/>
      <w:numFmt w:val="lowerRoman"/>
      <w:lvlText w:val="%3."/>
      <w:lvlJc w:val="right"/>
      <w:pPr>
        <w:ind w:left="3597" w:hanging="180"/>
      </w:pPr>
    </w:lvl>
    <w:lvl w:ilvl="3" w:tplc="1409000F" w:tentative="1">
      <w:start w:val="1"/>
      <w:numFmt w:val="decimal"/>
      <w:lvlText w:val="%4."/>
      <w:lvlJc w:val="left"/>
      <w:pPr>
        <w:ind w:left="4317" w:hanging="360"/>
      </w:pPr>
    </w:lvl>
    <w:lvl w:ilvl="4" w:tplc="14090019" w:tentative="1">
      <w:start w:val="1"/>
      <w:numFmt w:val="lowerLetter"/>
      <w:lvlText w:val="%5."/>
      <w:lvlJc w:val="left"/>
      <w:pPr>
        <w:ind w:left="5037" w:hanging="360"/>
      </w:pPr>
    </w:lvl>
    <w:lvl w:ilvl="5" w:tplc="1409001B" w:tentative="1">
      <w:start w:val="1"/>
      <w:numFmt w:val="lowerRoman"/>
      <w:lvlText w:val="%6."/>
      <w:lvlJc w:val="right"/>
      <w:pPr>
        <w:ind w:left="5757" w:hanging="180"/>
      </w:pPr>
    </w:lvl>
    <w:lvl w:ilvl="6" w:tplc="1409000F" w:tentative="1">
      <w:start w:val="1"/>
      <w:numFmt w:val="decimal"/>
      <w:lvlText w:val="%7."/>
      <w:lvlJc w:val="left"/>
      <w:pPr>
        <w:ind w:left="6477" w:hanging="360"/>
      </w:pPr>
    </w:lvl>
    <w:lvl w:ilvl="7" w:tplc="14090019" w:tentative="1">
      <w:start w:val="1"/>
      <w:numFmt w:val="lowerLetter"/>
      <w:lvlText w:val="%8."/>
      <w:lvlJc w:val="left"/>
      <w:pPr>
        <w:ind w:left="7197" w:hanging="360"/>
      </w:pPr>
    </w:lvl>
    <w:lvl w:ilvl="8" w:tplc="1409001B" w:tentative="1">
      <w:start w:val="1"/>
      <w:numFmt w:val="lowerRoman"/>
      <w:lvlText w:val="%9."/>
      <w:lvlJc w:val="right"/>
      <w:pPr>
        <w:ind w:left="7917" w:hanging="180"/>
      </w:pPr>
    </w:lvl>
  </w:abstractNum>
  <w:abstractNum w:abstractNumId="14" w15:restartNumberingAfterBreak="0">
    <w:nsid w:val="6BCF3F4D"/>
    <w:multiLevelType w:val="hybridMultilevel"/>
    <w:tmpl w:val="FC32B9DA"/>
    <w:lvl w:ilvl="0" w:tplc="F1C4729A">
      <w:start w:val="1"/>
      <w:numFmt w:val="lowerLetter"/>
      <w:lvlText w:val="(%1)"/>
      <w:lvlJc w:val="left"/>
      <w:pPr>
        <w:ind w:left="1797" w:hanging="360"/>
      </w:pPr>
      <w:rPr>
        <w:rFonts w:hint="default"/>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15" w15:restartNumberingAfterBreak="0">
    <w:nsid w:val="78A8080B"/>
    <w:multiLevelType w:val="hybridMultilevel"/>
    <w:tmpl w:val="82A6C058"/>
    <w:lvl w:ilvl="0" w:tplc="4546EF78">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7913274B"/>
    <w:multiLevelType w:val="hybridMultilevel"/>
    <w:tmpl w:val="FFC03466"/>
    <w:lvl w:ilvl="0" w:tplc="7910D03A">
      <w:start w:val="1"/>
      <w:numFmt w:val="lowerLetter"/>
      <w:lvlText w:val="(%1)"/>
      <w:lvlJc w:val="left"/>
      <w:pPr>
        <w:ind w:left="1797" w:hanging="360"/>
      </w:pPr>
      <w:rPr>
        <w:rFonts w:hint="default"/>
      </w:rPr>
    </w:lvl>
    <w:lvl w:ilvl="1" w:tplc="14090019">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17" w15:restartNumberingAfterBreak="0">
    <w:nsid w:val="7A4E63F0"/>
    <w:multiLevelType w:val="hybridMultilevel"/>
    <w:tmpl w:val="7676191E"/>
    <w:lvl w:ilvl="0" w:tplc="CB3A19FE">
      <w:start w:val="1"/>
      <w:numFmt w:val="lowerLetter"/>
      <w:lvlText w:val="(%1)"/>
      <w:lvlJc w:val="left"/>
      <w:pPr>
        <w:ind w:left="1797" w:hanging="360"/>
      </w:pPr>
      <w:rPr>
        <w:rFonts w:hint="default"/>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num w:numId="1">
    <w:abstractNumId w:val="6"/>
  </w:num>
  <w:num w:numId="2">
    <w:abstractNumId w:val="4"/>
  </w:num>
  <w:num w:numId="3">
    <w:abstractNumId w:val="12"/>
  </w:num>
  <w:num w:numId="4">
    <w:abstractNumId w:val="6"/>
  </w:num>
  <w:num w:numId="5">
    <w:abstractNumId w:val="15"/>
  </w:num>
  <w:num w:numId="6">
    <w:abstractNumId w:val="14"/>
  </w:num>
  <w:num w:numId="7">
    <w:abstractNumId w:val="8"/>
  </w:num>
  <w:num w:numId="8">
    <w:abstractNumId w:val="11"/>
  </w:num>
  <w:num w:numId="9">
    <w:abstractNumId w:val="0"/>
  </w:num>
  <w:num w:numId="10">
    <w:abstractNumId w:val="2"/>
  </w:num>
  <w:num w:numId="11">
    <w:abstractNumId w:val="7"/>
  </w:num>
  <w:num w:numId="12">
    <w:abstractNumId w:val="9"/>
  </w:num>
  <w:num w:numId="13">
    <w:abstractNumId w:val="17"/>
  </w:num>
  <w:num w:numId="14">
    <w:abstractNumId w:val="1"/>
  </w:num>
  <w:num w:numId="15">
    <w:abstractNumId w:val="16"/>
  </w:num>
  <w:num w:numId="16">
    <w:abstractNumId w:val="13"/>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FD"/>
    <w:rsid w:val="0000143D"/>
    <w:rsid w:val="000027A5"/>
    <w:rsid w:val="00002CFF"/>
    <w:rsid w:val="0000380A"/>
    <w:rsid w:val="000071A1"/>
    <w:rsid w:val="00007302"/>
    <w:rsid w:val="000115EE"/>
    <w:rsid w:val="00012FED"/>
    <w:rsid w:val="00014E0E"/>
    <w:rsid w:val="0001549E"/>
    <w:rsid w:val="0001577D"/>
    <w:rsid w:val="00016889"/>
    <w:rsid w:val="0002012D"/>
    <w:rsid w:val="0002096F"/>
    <w:rsid w:val="00022350"/>
    <w:rsid w:val="000238C3"/>
    <w:rsid w:val="000259E3"/>
    <w:rsid w:val="00025C87"/>
    <w:rsid w:val="000267EA"/>
    <w:rsid w:val="00026984"/>
    <w:rsid w:val="00026E03"/>
    <w:rsid w:val="0002742F"/>
    <w:rsid w:val="00027EE6"/>
    <w:rsid w:val="00030412"/>
    <w:rsid w:val="000307FE"/>
    <w:rsid w:val="00031E95"/>
    <w:rsid w:val="00035CF6"/>
    <w:rsid w:val="00035F22"/>
    <w:rsid w:val="000369BB"/>
    <w:rsid w:val="00037507"/>
    <w:rsid w:val="00041FBE"/>
    <w:rsid w:val="00043389"/>
    <w:rsid w:val="00044009"/>
    <w:rsid w:val="000443EC"/>
    <w:rsid w:val="00045246"/>
    <w:rsid w:val="00046512"/>
    <w:rsid w:val="000474E4"/>
    <w:rsid w:val="000505E9"/>
    <w:rsid w:val="000507E2"/>
    <w:rsid w:val="000508F9"/>
    <w:rsid w:val="0005571C"/>
    <w:rsid w:val="00056159"/>
    <w:rsid w:val="00057CF3"/>
    <w:rsid w:val="0006131A"/>
    <w:rsid w:val="00061BBC"/>
    <w:rsid w:val="00065454"/>
    <w:rsid w:val="000658FD"/>
    <w:rsid w:val="0006742D"/>
    <w:rsid w:val="00071E23"/>
    <w:rsid w:val="00072436"/>
    <w:rsid w:val="000744F7"/>
    <w:rsid w:val="00076669"/>
    <w:rsid w:val="0007687B"/>
    <w:rsid w:val="00077B95"/>
    <w:rsid w:val="00081952"/>
    <w:rsid w:val="00082A32"/>
    <w:rsid w:val="000836B3"/>
    <w:rsid w:val="00084885"/>
    <w:rsid w:val="000912C9"/>
    <w:rsid w:val="000915A7"/>
    <w:rsid w:val="00093994"/>
    <w:rsid w:val="00093D73"/>
    <w:rsid w:val="00094610"/>
    <w:rsid w:val="00095B66"/>
    <w:rsid w:val="00096980"/>
    <w:rsid w:val="000A05DD"/>
    <w:rsid w:val="000A16C1"/>
    <w:rsid w:val="000A469E"/>
    <w:rsid w:val="000A540B"/>
    <w:rsid w:val="000B0753"/>
    <w:rsid w:val="000B1C7F"/>
    <w:rsid w:val="000B1D29"/>
    <w:rsid w:val="000B20F3"/>
    <w:rsid w:val="000B5E9C"/>
    <w:rsid w:val="000B6F99"/>
    <w:rsid w:val="000C4467"/>
    <w:rsid w:val="000C4F23"/>
    <w:rsid w:val="000C4FEC"/>
    <w:rsid w:val="000C65CC"/>
    <w:rsid w:val="000C6B18"/>
    <w:rsid w:val="000C7677"/>
    <w:rsid w:val="000D1243"/>
    <w:rsid w:val="000D1F2C"/>
    <w:rsid w:val="000D7F64"/>
    <w:rsid w:val="000E295E"/>
    <w:rsid w:val="000E2F78"/>
    <w:rsid w:val="000E39ED"/>
    <w:rsid w:val="000E4F8E"/>
    <w:rsid w:val="000E63EE"/>
    <w:rsid w:val="000E712B"/>
    <w:rsid w:val="000E7FF7"/>
    <w:rsid w:val="000F05B2"/>
    <w:rsid w:val="000F32EB"/>
    <w:rsid w:val="000F7E01"/>
    <w:rsid w:val="00101F50"/>
    <w:rsid w:val="001020BD"/>
    <w:rsid w:val="00102161"/>
    <w:rsid w:val="00103E87"/>
    <w:rsid w:val="00104216"/>
    <w:rsid w:val="0010582F"/>
    <w:rsid w:val="001065F7"/>
    <w:rsid w:val="00107BD2"/>
    <w:rsid w:val="00112064"/>
    <w:rsid w:val="00114F80"/>
    <w:rsid w:val="001156EA"/>
    <w:rsid w:val="00115FB2"/>
    <w:rsid w:val="001168AB"/>
    <w:rsid w:val="0011743C"/>
    <w:rsid w:val="00121506"/>
    <w:rsid w:val="001229C7"/>
    <w:rsid w:val="00130B22"/>
    <w:rsid w:val="00130F34"/>
    <w:rsid w:val="00133716"/>
    <w:rsid w:val="00133CFC"/>
    <w:rsid w:val="001363E1"/>
    <w:rsid w:val="001404A7"/>
    <w:rsid w:val="001417F3"/>
    <w:rsid w:val="001424DA"/>
    <w:rsid w:val="001439E7"/>
    <w:rsid w:val="00143F49"/>
    <w:rsid w:val="001447EE"/>
    <w:rsid w:val="00144B97"/>
    <w:rsid w:val="00144BD3"/>
    <w:rsid w:val="00145111"/>
    <w:rsid w:val="001459B8"/>
    <w:rsid w:val="0014681E"/>
    <w:rsid w:val="00150E48"/>
    <w:rsid w:val="001527BF"/>
    <w:rsid w:val="0015304E"/>
    <w:rsid w:val="00154202"/>
    <w:rsid w:val="00156915"/>
    <w:rsid w:val="001603CB"/>
    <w:rsid w:val="00160C9C"/>
    <w:rsid w:val="00161A2A"/>
    <w:rsid w:val="00161E9F"/>
    <w:rsid w:val="00162B89"/>
    <w:rsid w:val="00163BAC"/>
    <w:rsid w:val="00165089"/>
    <w:rsid w:val="00165981"/>
    <w:rsid w:val="0017037C"/>
    <w:rsid w:val="00170AE9"/>
    <w:rsid w:val="001712C8"/>
    <w:rsid w:val="00174E4A"/>
    <w:rsid w:val="00175783"/>
    <w:rsid w:val="001777CA"/>
    <w:rsid w:val="00177A94"/>
    <w:rsid w:val="00177F09"/>
    <w:rsid w:val="0018127D"/>
    <w:rsid w:val="00182424"/>
    <w:rsid w:val="001829AB"/>
    <w:rsid w:val="00190841"/>
    <w:rsid w:val="001944FE"/>
    <w:rsid w:val="001947AE"/>
    <w:rsid w:val="00194B22"/>
    <w:rsid w:val="0019680F"/>
    <w:rsid w:val="001A02BF"/>
    <w:rsid w:val="001A2790"/>
    <w:rsid w:val="001A2975"/>
    <w:rsid w:val="001A77A0"/>
    <w:rsid w:val="001A7B29"/>
    <w:rsid w:val="001A7C2F"/>
    <w:rsid w:val="001B1B42"/>
    <w:rsid w:val="001B254C"/>
    <w:rsid w:val="001B2566"/>
    <w:rsid w:val="001B2AAD"/>
    <w:rsid w:val="001B3F48"/>
    <w:rsid w:val="001B5A6C"/>
    <w:rsid w:val="001B657D"/>
    <w:rsid w:val="001B6F09"/>
    <w:rsid w:val="001C071B"/>
    <w:rsid w:val="001C101E"/>
    <w:rsid w:val="001C1C26"/>
    <w:rsid w:val="001C424C"/>
    <w:rsid w:val="001D1B0B"/>
    <w:rsid w:val="001D2252"/>
    <w:rsid w:val="001D249B"/>
    <w:rsid w:val="001D3EAB"/>
    <w:rsid w:val="001D3FE4"/>
    <w:rsid w:val="001D55A3"/>
    <w:rsid w:val="001D6234"/>
    <w:rsid w:val="001E1C0D"/>
    <w:rsid w:val="001E3F3E"/>
    <w:rsid w:val="001F0FFB"/>
    <w:rsid w:val="001F32CE"/>
    <w:rsid w:val="001F33C8"/>
    <w:rsid w:val="001F5603"/>
    <w:rsid w:val="001F615F"/>
    <w:rsid w:val="001F7E3D"/>
    <w:rsid w:val="001F7FE3"/>
    <w:rsid w:val="00203CEF"/>
    <w:rsid w:val="00204C2B"/>
    <w:rsid w:val="0021071C"/>
    <w:rsid w:val="00211AD8"/>
    <w:rsid w:val="00217C8D"/>
    <w:rsid w:val="00221868"/>
    <w:rsid w:val="002230EE"/>
    <w:rsid w:val="00223B15"/>
    <w:rsid w:val="00226C5A"/>
    <w:rsid w:val="0023069A"/>
    <w:rsid w:val="00230C1D"/>
    <w:rsid w:val="00232172"/>
    <w:rsid w:val="00234E32"/>
    <w:rsid w:val="0023523C"/>
    <w:rsid w:val="00235294"/>
    <w:rsid w:val="00237D29"/>
    <w:rsid w:val="0024043A"/>
    <w:rsid w:val="00240EF6"/>
    <w:rsid w:val="002413DC"/>
    <w:rsid w:val="00241733"/>
    <w:rsid w:val="00246C6F"/>
    <w:rsid w:val="0024766C"/>
    <w:rsid w:val="002501B9"/>
    <w:rsid w:val="0025157D"/>
    <w:rsid w:val="00253620"/>
    <w:rsid w:val="00255567"/>
    <w:rsid w:val="002557A2"/>
    <w:rsid w:val="00255BBD"/>
    <w:rsid w:val="00256258"/>
    <w:rsid w:val="002566D1"/>
    <w:rsid w:val="00257063"/>
    <w:rsid w:val="002573D6"/>
    <w:rsid w:val="00260676"/>
    <w:rsid w:val="00260ADE"/>
    <w:rsid w:val="002612FF"/>
    <w:rsid w:val="002638E1"/>
    <w:rsid w:val="00263B1D"/>
    <w:rsid w:val="00264CBF"/>
    <w:rsid w:val="00266086"/>
    <w:rsid w:val="00266CF5"/>
    <w:rsid w:val="00267F6B"/>
    <w:rsid w:val="00270DC8"/>
    <w:rsid w:val="00271C37"/>
    <w:rsid w:val="00272823"/>
    <w:rsid w:val="0027647A"/>
    <w:rsid w:val="0027670D"/>
    <w:rsid w:val="00280532"/>
    <w:rsid w:val="00284525"/>
    <w:rsid w:val="00284F19"/>
    <w:rsid w:val="00285355"/>
    <w:rsid w:val="00287910"/>
    <w:rsid w:val="002879D7"/>
    <w:rsid w:val="00292D61"/>
    <w:rsid w:val="00293F35"/>
    <w:rsid w:val="002952FA"/>
    <w:rsid w:val="002A0FDD"/>
    <w:rsid w:val="002A2D56"/>
    <w:rsid w:val="002A42AD"/>
    <w:rsid w:val="002A6790"/>
    <w:rsid w:val="002B03A3"/>
    <w:rsid w:val="002B065D"/>
    <w:rsid w:val="002B3E28"/>
    <w:rsid w:val="002B45AC"/>
    <w:rsid w:val="002B5870"/>
    <w:rsid w:val="002B5C3D"/>
    <w:rsid w:val="002C0383"/>
    <w:rsid w:val="002C24B4"/>
    <w:rsid w:val="002C3D2F"/>
    <w:rsid w:val="002C3F0E"/>
    <w:rsid w:val="002D07DC"/>
    <w:rsid w:val="002D08C9"/>
    <w:rsid w:val="002D11F1"/>
    <w:rsid w:val="002D250D"/>
    <w:rsid w:val="002D25DB"/>
    <w:rsid w:val="002D3638"/>
    <w:rsid w:val="002D3ED6"/>
    <w:rsid w:val="002D401E"/>
    <w:rsid w:val="002D54C8"/>
    <w:rsid w:val="002D63F1"/>
    <w:rsid w:val="002D6F77"/>
    <w:rsid w:val="002D723E"/>
    <w:rsid w:val="002E174F"/>
    <w:rsid w:val="002E1DA7"/>
    <w:rsid w:val="002E2D34"/>
    <w:rsid w:val="00300A1A"/>
    <w:rsid w:val="00302CB1"/>
    <w:rsid w:val="00305E35"/>
    <w:rsid w:val="00311149"/>
    <w:rsid w:val="00311A51"/>
    <w:rsid w:val="00311BFA"/>
    <w:rsid w:val="00312114"/>
    <w:rsid w:val="003147AF"/>
    <w:rsid w:val="003161C3"/>
    <w:rsid w:val="003224C8"/>
    <w:rsid w:val="003237D3"/>
    <w:rsid w:val="00326B8F"/>
    <w:rsid w:val="00330CB7"/>
    <w:rsid w:val="00330CFB"/>
    <w:rsid w:val="00331798"/>
    <w:rsid w:val="0033225D"/>
    <w:rsid w:val="0033243D"/>
    <w:rsid w:val="00334D88"/>
    <w:rsid w:val="00335703"/>
    <w:rsid w:val="00335E66"/>
    <w:rsid w:val="0034389B"/>
    <w:rsid w:val="00344B3F"/>
    <w:rsid w:val="003458CA"/>
    <w:rsid w:val="003468D9"/>
    <w:rsid w:val="00346A18"/>
    <w:rsid w:val="003472F0"/>
    <w:rsid w:val="00347487"/>
    <w:rsid w:val="00350471"/>
    <w:rsid w:val="0035095C"/>
    <w:rsid w:val="00351A21"/>
    <w:rsid w:val="00352538"/>
    <w:rsid w:val="003530BF"/>
    <w:rsid w:val="00354CFF"/>
    <w:rsid w:val="00355CE8"/>
    <w:rsid w:val="00362D91"/>
    <w:rsid w:val="00363460"/>
    <w:rsid w:val="003637F0"/>
    <w:rsid w:val="003644A0"/>
    <w:rsid w:val="00365D9C"/>
    <w:rsid w:val="0036750C"/>
    <w:rsid w:val="0037073C"/>
    <w:rsid w:val="00372363"/>
    <w:rsid w:val="00372B65"/>
    <w:rsid w:val="00372D26"/>
    <w:rsid w:val="00380ABD"/>
    <w:rsid w:val="00381655"/>
    <w:rsid w:val="0038200C"/>
    <w:rsid w:val="00383BF0"/>
    <w:rsid w:val="00390345"/>
    <w:rsid w:val="00392303"/>
    <w:rsid w:val="00392DC0"/>
    <w:rsid w:val="003942AC"/>
    <w:rsid w:val="00396846"/>
    <w:rsid w:val="003A5ED2"/>
    <w:rsid w:val="003A6611"/>
    <w:rsid w:val="003A676E"/>
    <w:rsid w:val="003A6935"/>
    <w:rsid w:val="003B0BA9"/>
    <w:rsid w:val="003B4976"/>
    <w:rsid w:val="003B4A63"/>
    <w:rsid w:val="003B70D8"/>
    <w:rsid w:val="003C350D"/>
    <w:rsid w:val="003C6D1A"/>
    <w:rsid w:val="003C78AE"/>
    <w:rsid w:val="003C7E1B"/>
    <w:rsid w:val="003C7F0B"/>
    <w:rsid w:val="003D38B4"/>
    <w:rsid w:val="003D77C2"/>
    <w:rsid w:val="003E0042"/>
    <w:rsid w:val="003E585F"/>
    <w:rsid w:val="003F2590"/>
    <w:rsid w:val="003F36AF"/>
    <w:rsid w:val="003F41E1"/>
    <w:rsid w:val="003F4877"/>
    <w:rsid w:val="003F4ADF"/>
    <w:rsid w:val="003F7AEE"/>
    <w:rsid w:val="00401141"/>
    <w:rsid w:val="004028D0"/>
    <w:rsid w:val="00403F87"/>
    <w:rsid w:val="004045AD"/>
    <w:rsid w:val="00404D7B"/>
    <w:rsid w:val="00407547"/>
    <w:rsid w:val="00410114"/>
    <w:rsid w:val="004108D5"/>
    <w:rsid w:val="00411B97"/>
    <w:rsid w:val="00414AB4"/>
    <w:rsid w:val="00420850"/>
    <w:rsid w:val="00421021"/>
    <w:rsid w:val="00421222"/>
    <w:rsid w:val="00422495"/>
    <w:rsid w:val="0042458B"/>
    <w:rsid w:val="00424B9D"/>
    <w:rsid w:val="00424E26"/>
    <w:rsid w:val="0043015B"/>
    <w:rsid w:val="004329A1"/>
    <w:rsid w:val="00433D59"/>
    <w:rsid w:val="00435EBA"/>
    <w:rsid w:val="00436AE8"/>
    <w:rsid w:val="004377F6"/>
    <w:rsid w:val="00444BCD"/>
    <w:rsid w:val="00446348"/>
    <w:rsid w:val="00450AA0"/>
    <w:rsid w:val="00452372"/>
    <w:rsid w:val="0045288E"/>
    <w:rsid w:val="00453ED3"/>
    <w:rsid w:val="0045427A"/>
    <w:rsid w:val="00454C4B"/>
    <w:rsid w:val="004617E8"/>
    <w:rsid w:val="00463988"/>
    <w:rsid w:val="00464351"/>
    <w:rsid w:val="0046642D"/>
    <w:rsid w:val="00470F6F"/>
    <w:rsid w:val="004731AB"/>
    <w:rsid w:val="004752CE"/>
    <w:rsid w:val="004758D7"/>
    <w:rsid w:val="004767BF"/>
    <w:rsid w:val="004773C1"/>
    <w:rsid w:val="00481CD4"/>
    <w:rsid w:val="00481FAC"/>
    <w:rsid w:val="00482762"/>
    <w:rsid w:val="00482E9A"/>
    <w:rsid w:val="00486CE9"/>
    <w:rsid w:val="00495734"/>
    <w:rsid w:val="004964B0"/>
    <w:rsid w:val="004A0A29"/>
    <w:rsid w:val="004A1F44"/>
    <w:rsid w:val="004A2E77"/>
    <w:rsid w:val="004A300F"/>
    <w:rsid w:val="004A3C89"/>
    <w:rsid w:val="004A3D64"/>
    <w:rsid w:val="004A44D4"/>
    <w:rsid w:val="004A6393"/>
    <w:rsid w:val="004A7BB5"/>
    <w:rsid w:val="004B2D03"/>
    <w:rsid w:val="004B584F"/>
    <w:rsid w:val="004C0404"/>
    <w:rsid w:val="004C1F03"/>
    <w:rsid w:val="004C22D1"/>
    <w:rsid w:val="004C275D"/>
    <w:rsid w:val="004C3E8F"/>
    <w:rsid w:val="004C5AFA"/>
    <w:rsid w:val="004C6B1A"/>
    <w:rsid w:val="004D1129"/>
    <w:rsid w:val="004D2AC3"/>
    <w:rsid w:val="004D2AD2"/>
    <w:rsid w:val="004D5B40"/>
    <w:rsid w:val="004D5DAD"/>
    <w:rsid w:val="004D685B"/>
    <w:rsid w:val="004E149E"/>
    <w:rsid w:val="004E1E59"/>
    <w:rsid w:val="004E5685"/>
    <w:rsid w:val="004E697C"/>
    <w:rsid w:val="004F0007"/>
    <w:rsid w:val="004F29CD"/>
    <w:rsid w:val="004F3F1E"/>
    <w:rsid w:val="004F44BD"/>
    <w:rsid w:val="004F5972"/>
    <w:rsid w:val="004F7157"/>
    <w:rsid w:val="00502272"/>
    <w:rsid w:val="005024A8"/>
    <w:rsid w:val="00502EE0"/>
    <w:rsid w:val="00503DC3"/>
    <w:rsid w:val="00505B44"/>
    <w:rsid w:val="0051197E"/>
    <w:rsid w:val="00512265"/>
    <w:rsid w:val="00513F64"/>
    <w:rsid w:val="005147E6"/>
    <w:rsid w:val="00515C75"/>
    <w:rsid w:val="00516ED8"/>
    <w:rsid w:val="00521211"/>
    <w:rsid w:val="00527A34"/>
    <w:rsid w:val="00530694"/>
    <w:rsid w:val="00532195"/>
    <w:rsid w:val="0053521C"/>
    <w:rsid w:val="0053747A"/>
    <w:rsid w:val="00540D7B"/>
    <w:rsid w:val="00541996"/>
    <w:rsid w:val="00541E37"/>
    <w:rsid w:val="00542D00"/>
    <w:rsid w:val="00546676"/>
    <w:rsid w:val="00550562"/>
    <w:rsid w:val="00551D30"/>
    <w:rsid w:val="005529A7"/>
    <w:rsid w:val="005545DF"/>
    <w:rsid w:val="00557A14"/>
    <w:rsid w:val="00557F1F"/>
    <w:rsid w:val="0056093C"/>
    <w:rsid w:val="00560B18"/>
    <w:rsid w:val="0056105B"/>
    <w:rsid w:val="00564FA5"/>
    <w:rsid w:val="005656B5"/>
    <w:rsid w:val="0056779E"/>
    <w:rsid w:val="00573098"/>
    <w:rsid w:val="005742C8"/>
    <w:rsid w:val="0057603A"/>
    <w:rsid w:val="00576193"/>
    <w:rsid w:val="00580B6C"/>
    <w:rsid w:val="00580D47"/>
    <w:rsid w:val="0058251B"/>
    <w:rsid w:val="00584606"/>
    <w:rsid w:val="00590942"/>
    <w:rsid w:val="00590A5B"/>
    <w:rsid w:val="005913BE"/>
    <w:rsid w:val="0059277F"/>
    <w:rsid w:val="005957A7"/>
    <w:rsid w:val="005974ED"/>
    <w:rsid w:val="00597589"/>
    <w:rsid w:val="0059794B"/>
    <w:rsid w:val="005A0077"/>
    <w:rsid w:val="005A0244"/>
    <w:rsid w:val="005A0DCB"/>
    <w:rsid w:val="005A2F3C"/>
    <w:rsid w:val="005A389D"/>
    <w:rsid w:val="005A47D9"/>
    <w:rsid w:val="005B0E88"/>
    <w:rsid w:val="005B7116"/>
    <w:rsid w:val="005B7B25"/>
    <w:rsid w:val="005B7CED"/>
    <w:rsid w:val="005C20D6"/>
    <w:rsid w:val="005C2B78"/>
    <w:rsid w:val="005C3E3E"/>
    <w:rsid w:val="005C4F17"/>
    <w:rsid w:val="005C5D03"/>
    <w:rsid w:val="005C61D5"/>
    <w:rsid w:val="005D16D3"/>
    <w:rsid w:val="005D2CED"/>
    <w:rsid w:val="005D3C7B"/>
    <w:rsid w:val="005D63FD"/>
    <w:rsid w:val="005E0D08"/>
    <w:rsid w:val="005E1B20"/>
    <w:rsid w:val="005E1BA5"/>
    <w:rsid w:val="005E1D18"/>
    <w:rsid w:val="005E22B1"/>
    <w:rsid w:val="005E244D"/>
    <w:rsid w:val="005E444B"/>
    <w:rsid w:val="005E5F17"/>
    <w:rsid w:val="005E6DB7"/>
    <w:rsid w:val="005E7CC5"/>
    <w:rsid w:val="005F0437"/>
    <w:rsid w:val="005F0F4F"/>
    <w:rsid w:val="005F2114"/>
    <w:rsid w:val="005F3F35"/>
    <w:rsid w:val="005F5F52"/>
    <w:rsid w:val="0060003E"/>
    <w:rsid w:val="0060042A"/>
    <w:rsid w:val="00601368"/>
    <w:rsid w:val="0060156A"/>
    <w:rsid w:val="00603336"/>
    <w:rsid w:val="00604F19"/>
    <w:rsid w:val="00605DDD"/>
    <w:rsid w:val="00606F24"/>
    <w:rsid w:val="006103E4"/>
    <w:rsid w:val="00612745"/>
    <w:rsid w:val="00612F0D"/>
    <w:rsid w:val="00613BC1"/>
    <w:rsid w:val="00613C89"/>
    <w:rsid w:val="006151C9"/>
    <w:rsid w:val="0061540D"/>
    <w:rsid w:val="00616D42"/>
    <w:rsid w:val="0062028D"/>
    <w:rsid w:val="00620EA7"/>
    <w:rsid w:val="00620FC0"/>
    <w:rsid w:val="00621942"/>
    <w:rsid w:val="00622EB0"/>
    <w:rsid w:val="00623117"/>
    <w:rsid w:val="00623803"/>
    <w:rsid w:val="0062482B"/>
    <w:rsid w:val="00624AC5"/>
    <w:rsid w:val="00624FF0"/>
    <w:rsid w:val="00625825"/>
    <w:rsid w:val="00631DC0"/>
    <w:rsid w:val="006349DE"/>
    <w:rsid w:val="00634DEB"/>
    <w:rsid w:val="00636DB5"/>
    <w:rsid w:val="00637B47"/>
    <w:rsid w:val="00640264"/>
    <w:rsid w:val="00644985"/>
    <w:rsid w:val="0064515D"/>
    <w:rsid w:val="0064573F"/>
    <w:rsid w:val="00645DD0"/>
    <w:rsid w:val="00646442"/>
    <w:rsid w:val="0065012C"/>
    <w:rsid w:val="0065038A"/>
    <w:rsid w:val="0065317C"/>
    <w:rsid w:val="006535D0"/>
    <w:rsid w:val="00653C1C"/>
    <w:rsid w:val="00656151"/>
    <w:rsid w:val="006577AC"/>
    <w:rsid w:val="006579E4"/>
    <w:rsid w:val="00662FBA"/>
    <w:rsid w:val="00663CFD"/>
    <w:rsid w:val="00663F29"/>
    <w:rsid w:val="006642F0"/>
    <w:rsid w:val="0066468B"/>
    <w:rsid w:val="00666197"/>
    <w:rsid w:val="006662EC"/>
    <w:rsid w:val="00666934"/>
    <w:rsid w:val="00671368"/>
    <w:rsid w:val="00672ACF"/>
    <w:rsid w:val="00672D0C"/>
    <w:rsid w:val="00674A46"/>
    <w:rsid w:val="00675942"/>
    <w:rsid w:val="006807B9"/>
    <w:rsid w:val="00681A53"/>
    <w:rsid w:val="00686F40"/>
    <w:rsid w:val="00692882"/>
    <w:rsid w:val="006928C8"/>
    <w:rsid w:val="00692EC8"/>
    <w:rsid w:val="0069380A"/>
    <w:rsid w:val="00693899"/>
    <w:rsid w:val="00696E15"/>
    <w:rsid w:val="00697F5D"/>
    <w:rsid w:val="006A2559"/>
    <w:rsid w:val="006A287A"/>
    <w:rsid w:val="006A4A5B"/>
    <w:rsid w:val="006A6989"/>
    <w:rsid w:val="006A7154"/>
    <w:rsid w:val="006B3078"/>
    <w:rsid w:val="006B3C0B"/>
    <w:rsid w:val="006B5C0B"/>
    <w:rsid w:val="006B5DD9"/>
    <w:rsid w:val="006B7D9F"/>
    <w:rsid w:val="006C166E"/>
    <w:rsid w:val="006C17E8"/>
    <w:rsid w:val="006C23A7"/>
    <w:rsid w:val="006C2AC8"/>
    <w:rsid w:val="006C31D1"/>
    <w:rsid w:val="006C6CEB"/>
    <w:rsid w:val="006C6D15"/>
    <w:rsid w:val="006C7165"/>
    <w:rsid w:val="006C7628"/>
    <w:rsid w:val="006C7888"/>
    <w:rsid w:val="006C796F"/>
    <w:rsid w:val="006D1CEC"/>
    <w:rsid w:val="006D2A19"/>
    <w:rsid w:val="006D2D71"/>
    <w:rsid w:val="006D49D3"/>
    <w:rsid w:val="006D621C"/>
    <w:rsid w:val="006D62CD"/>
    <w:rsid w:val="006D667D"/>
    <w:rsid w:val="006E00A9"/>
    <w:rsid w:val="006E34B6"/>
    <w:rsid w:val="006E41A0"/>
    <w:rsid w:val="006E4268"/>
    <w:rsid w:val="006E4431"/>
    <w:rsid w:val="006E4F51"/>
    <w:rsid w:val="006E5A23"/>
    <w:rsid w:val="006F12B7"/>
    <w:rsid w:val="006F2322"/>
    <w:rsid w:val="006F39C6"/>
    <w:rsid w:val="006F4328"/>
    <w:rsid w:val="006F511F"/>
    <w:rsid w:val="006F590D"/>
    <w:rsid w:val="006F5D5C"/>
    <w:rsid w:val="006F64D6"/>
    <w:rsid w:val="006F7979"/>
    <w:rsid w:val="00700869"/>
    <w:rsid w:val="00701F3E"/>
    <w:rsid w:val="007020C7"/>
    <w:rsid w:val="00703637"/>
    <w:rsid w:val="0070452D"/>
    <w:rsid w:val="00704A78"/>
    <w:rsid w:val="0070572A"/>
    <w:rsid w:val="00705757"/>
    <w:rsid w:val="007064AA"/>
    <w:rsid w:val="007069C5"/>
    <w:rsid w:val="00706DD6"/>
    <w:rsid w:val="00707BB1"/>
    <w:rsid w:val="00712573"/>
    <w:rsid w:val="00712966"/>
    <w:rsid w:val="00712BF1"/>
    <w:rsid w:val="00712C93"/>
    <w:rsid w:val="00715CCA"/>
    <w:rsid w:val="00715FC2"/>
    <w:rsid w:val="00717205"/>
    <w:rsid w:val="00717907"/>
    <w:rsid w:val="00720326"/>
    <w:rsid w:val="00720AD6"/>
    <w:rsid w:val="007233CC"/>
    <w:rsid w:val="00723802"/>
    <w:rsid w:val="007239CB"/>
    <w:rsid w:val="00724D68"/>
    <w:rsid w:val="007251E0"/>
    <w:rsid w:val="00730775"/>
    <w:rsid w:val="00731D3C"/>
    <w:rsid w:val="0073201C"/>
    <w:rsid w:val="0073252B"/>
    <w:rsid w:val="00732E87"/>
    <w:rsid w:val="00732F22"/>
    <w:rsid w:val="0073491D"/>
    <w:rsid w:val="00737520"/>
    <w:rsid w:val="00751325"/>
    <w:rsid w:val="00752F56"/>
    <w:rsid w:val="00753DED"/>
    <w:rsid w:val="00754CB2"/>
    <w:rsid w:val="00755EBC"/>
    <w:rsid w:val="007560F7"/>
    <w:rsid w:val="0075717F"/>
    <w:rsid w:val="00760E86"/>
    <w:rsid w:val="007617FC"/>
    <w:rsid w:val="00761DF0"/>
    <w:rsid w:val="00765A70"/>
    <w:rsid w:val="007663B7"/>
    <w:rsid w:val="007665AA"/>
    <w:rsid w:val="00770AB3"/>
    <w:rsid w:val="007714CD"/>
    <w:rsid w:val="00771DDB"/>
    <w:rsid w:val="0077252B"/>
    <w:rsid w:val="00772868"/>
    <w:rsid w:val="007761F3"/>
    <w:rsid w:val="0077627A"/>
    <w:rsid w:val="007763EB"/>
    <w:rsid w:val="007764B1"/>
    <w:rsid w:val="0077737C"/>
    <w:rsid w:val="007807BC"/>
    <w:rsid w:val="00780C5E"/>
    <w:rsid w:val="0078200B"/>
    <w:rsid w:val="007823D6"/>
    <w:rsid w:val="007830DE"/>
    <w:rsid w:val="00783BDC"/>
    <w:rsid w:val="00786F9E"/>
    <w:rsid w:val="007871FA"/>
    <w:rsid w:val="00790891"/>
    <w:rsid w:val="0079399B"/>
    <w:rsid w:val="00793FE7"/>
    <w:rsid w:val="007A0CBE"/>
    <w:rsid w:val="007A236C"/>
    <w:rsid w:val="007A2745"/>
    <w:rsid w:val="007A4CC8"/>
    <w:rsid w:val="007A64D6"/>
    <w:rsid w:val="007A6AE0"/>
    <w:rsid w:val="007A7212"/>
    <w:rsid w:val="007A75A1"/>
    <w:rsid w:val="007B205C"/>
    <w:rsid w:val="007B6843"/>
    <w:rsid w:val="007B7D38"/>
    <w:rsid w:val="007C370D"/>
    <w:rsid w:val="007C38AC"/>
    <w:rsid w:val="007C4D6F"/>
    <w:rsid w:val="007C5373"/>
    <w:rsid w:val="007C5624"/>
    <w:rsid w:val="007C57D8"/>
    <w:rsid w:val="007C5DB6"/>
    <w:rsid w:val="007C612E"/>
    <w:rsid w:val="007C713B"/>
    <w:rsid w:val="007D0145"/>
    <w:rsid w:val="007D1342"/>
    <w:rsid w:val="007D229E"/>
    <w:rsid w:val="007D275C"/>
    <w:rsid w:val="007D3E77"/>
    <w:rsid w:val="007D43E4"/>
    <w:rsid w:val="007D63B4"/>
    <w:rsid w:val="007D6644"/>
    <w:rsid w:val="007D7042"/>
    <w:rsid w:val="007D759B"/>
    <w:rsid w:val="007D7706"/>
    <w:rsid w:val="007D7DA4"/>
    <w:rsid w:val="007E1BCF"/>
    <w:rsid w:val="007E4AD6"/>
    <w:rsid w:val="007F0CC0"/>
    <w:rsid w:val="007F5816"/>
    <w:rsid w:val="007F7E94"/>
    <w:rsid w:val="00802121"/>
    <w:rsid w:val="00802D2A"/>
    <w:rsid w:val="00803AEE"/>
    <w:rsid w:val="00803F47"/>
    <w:rsid w:val="0080436C"/>
    <w:rsid w:val="00805BCE"/>
    <w:rsid w:val="00807412"/>
    <w:rsid w:val="00807FAD"/>
    <w:rsid w:val="008116A3"/>
    <w:rsid w:val="008130FA"/>
    <w:rsid w:val="00817233"/>
    <w:rsid w:val="00823B6B"/>
    <w:rsid w:val="00824BCC"/>
    <w:rsid w:val="008278DD"/>
    <w:rsid w:val="008278E7"/>
    <w:rsid w:val="008301BA"/>
    <w:rsid w:val="00831A0A"/>
    <w:rsid w:val="00833A93"/>
    <w:rsid w:val="00834BF1"/>
    <w:rsid w:val="008350F5"/>
    <w:rsid w:val="00841938"/>
    <w:rsid w:val="008423BD"/>
    <w:rsid w:val="00846842"/>
    <w:rsid w:val="008478CB"/>
    <w:rsid w:val="00854AD1"/>
    <w:rsid w:val="00862E90"/>
    <w:rsid w:val="00864C02"/>
    <w:rsid w:val="00867E0C"/>
    <w:rsid w:val="0087379C"/>
    <w:rsid w:val="00876A8C"/>
    <w:rsid w:val="008801A5"/>
    <w:rsid w:val="00880DC2"/>
    <w:rsid w:val="00881EF8"/>
    <w:rsid w:val="008824A9"/>
    <w:rsid w:val="00884CE9"/>
    <w:rsid w:val="008854B3"/>
    <w:rsid w:val="00886102"/>
    <w:rsid w:val="0088710F"/>
    <w:rsid w:val="0089320B"/>
    <w:rsid w:val="00895B06"/>
    <w:rsid w:val="008A0033"/>
    <w:rsid w:val="008A0572"/>
    <w:rsid w:val="008A093E"/>
    <w:rsid w:val="008A1241"/>
    <w:rsid w:val="008A2943"/>
    <w:rsid w:val="008A2A3F"/>
    <w:rsid w:val="008A586C"/>
    <w:rsid w:val="008A7C19"/>
    <w:rsid w:val="008B137C"/>
    <w:rsid w:val="008B246A"/>
    <w:rsid w:val="008B3EAE"/>
    <w:rsid w:val="008B6183"/>
    <w:rsid w:val="008B6CEB"/>
    <w:rsid w:val="008B6FF0"/>
    <w:rsid w:val="008C0405"/>
    <w:rsid w:val="008C0C35"/>
    <w:rsid w:val="008C0D52"/>
    <w:rsid w:val="008C10DB"/>
    <w:rsid w:val="008C13C7"/>
    <w:rsid w:val="008C2A49"/>
    <w:rsid w:val="008C32EB"/>
    <w:rsid w:val="008C33F3"/>
    <w:rsid w:val="008C3922"/>
    <w:rsid w:val="008C6F59"/>
    <w:rsid w:val="008C7FD7"/>
    <w:rsid w:val="008D0D62"/>
    <w:rsid w:val="008D2AC4"/>
    <w:rsid w:val="008D3D70"/>
    <w:rsid w:val="008D6DB5"/>
    <w:rsid w:val="008E10D2"/>
    <w:rsid w:val="008E444A"/>
    <w:rsid w:val="008E7442"/>
    <w:rsid w:val="008E7C2F"/>
    <w:rsid w:val="008F0245"/>
    <w:rsid w:val="008F0D27"/>
    <w:rsid w:val="008F12EE"/>
    <w:rsid w:val="008F27D4"/>
    <w:rsid w:val="008F5DEF"/>
    <w:rsid w:val="008F6330"/>
    <w:rsid w:val="008F7932"/>
    <w:rsid w:val="00900394"/>
    <w:rsid w:val="0090593A"/>
    <w:rsid w:val="00905EFF"/>
    <w:rsid w:val="0091058B"/>
    <w:rsid w:val="00910A83"/>
    <w:rsid w:val="009210C2"/>
    <w:rsid w:val="009221F8"/>
    <w:rsid w:val="0092232D"/>
    <w:rsid w:val="00922E01"/>
    <w:rsid w:val="00923395"/>
    <w:rsid w:val="00926D2A"/>
    <w:rsid w:val="0092729F"/>
    <w:rsid w:val="00930436"/>
    <w:rsid w:val="0093504D"/>
    <w:rsid w:val="00937F1A"/>
    <w:rsid w:val="009434E9"/>
    <w:rsid w:val="0094593C"/>
    <w:rsid w:val="0094605D"/>
    <w:rsid w:val="00946417"/>
    <w:rsid w:val="00950D2D"/>
    <w:rsid w:val="00950E4E"/>
    <w:rsid w:val="009532D7"/>
    <w:rsid w:val="00955671"/>
    <w:rsid w:val="0096026C"/>
    <w:rsid w:val="00961743"/>
    <w:rsid w:val="009620EA"/>
    <w:rsid w:val="00962B0A"/>
    <w:rsid w:val="0096428C"/>
    <w:rsid w:val="00964293"/>
    <w:rsid w:val="00964640"/>
    <w:rsid w:val="00965448"/>
    <w:rsid w:val="00966846"/>
    <w:rsid w:val="009719A9"/>
    <w:rsid w:val="00972286"/>
    <w:rsid w:val="00973542"/>
    <w:rsid w:val="0097501D"/>
    <w:rsid w:val="0097609C"/>
    <w:rsid w:val="0097675E"/>
    <w:rsid w:val="009775FD"/>
    <w:rsid w:val="00983D30"/>
    <w:rsid w:val="00985119"/>
    <w:rsid w:val="0099385C"/>
    <w:rsid w:val="00994DC6"/>
    <w:rsid w:val="00995CBA"/>
    <w:rsid w:val="00996860"/>
    <w:rsid w:val="00997F45"/>
    <w:rsid w:val="009A001C"/>
    <w:rsid w:val="009A04A8"/>
    <w:rsid w:val="009A1121"/>
    <w:rsid w:val="009A6064"/>
    <w:rsid w:val="009B0BD3"/>
    <w:rsid w:val="009B0E97"/>
    <w:rsid w:val="009B194D"/>
    <w:rsid w:val="009B3495"/>
    <w:rsid w:val="009B3BE3"/>
    <w:rsid w:val="009B3C79"/>
    <w:rsid w:val="009B5A32"/>
    <w:rsid w:val="009B7EE6"/>
    <w:rsid w:val="009C1E6F"/>
    <w:rsid w:val="009C262C"/>
    <w:rsid w:val="009C7CE7"/>
    <w:rsid w:val="009D1A0F"/>
    <w:rsid w:val="009D1C6B"/>
    <w:rsid w:val="009D2684"/>
    <w:rsid w:val="009D39B3"/>
    <w:rsid w:val="009D73E5"/>
    <w:rsid w:val="009E05CF"/>
    <w:rsid w:val="009E18B5"/>
    <w:rsid w:val="009E40D0"/>
    <w:rsid w:val="009E4696"/>
    <w:rsid w:val="009E4B06"/>
    <w:rsid w:val="009E61D4"/>
    <w:rsid w:val="009E6E2D"/>
    <w:rsid w:val="009F3095"/>
    <w:rsid w:val="009F32D5"/>
    <w:rsid w:val="009F4625"/>
    <w:rsid w:val="009F5C53"/>
    <w:rsid w:val="00A01B1D"/>
    <w:rsid w:val="00A040BC"/>
    <w:rsid w:val="00A0727A"/>
    <w:rsid w:val="00A074E8"/>
    <w:rsid w:val="00A07F4B"/>
    <w:rsid w:val="00A10FE9"/>
    <w:rsid w:val="00A12947"/>
    <w:rsid w:val="00A13657"/>
    <w:rsid w:val="00A14357"/>
    <w:rsid w:val="00A170AA"/>
    <w:rsid w:val="00A2146D"/>
    <w:rsid w:val="00A2334B"/>
    <w:rsid w:val="00A23676"/>
    <w:rsid w:val="00A245D1"/>
    <w:rsid w:val="00A247FC"/>
    <w:rsid w:val="00A256B7"/>
    <w:rsid w:val="00A26B17"/>
    <w:rsid w:val="00A31AD4"/>
    <w:rsid w:val="00A3634E"/>
    <w:rsid w:val="00A36FCC"/>
    <w:rsid w:val="00A423D1"/>
    <w:rsid w:val="00A441F5"/>
    <w:rsid w:val="00A4443B"/>
    <w:rsid w:val="00A444DF"/>
    <w:rsid w:val="00A45CF5"/>
    <w:rsid w:val="00A470CF"/>
    <w:rsid w:val="00A47877"/>
    <w:rsid w:val="00A510A0"/>
    <w:rsid w:val="00A5244B"/>
    <w:rsid w:val="00A55C46"/>
    <w:rsid w:val="00A55EE7"/>
    <w:rsid w:val="00A5662B"/>
    <w:rsid w:val="00A56A3E"/>
    <w:rsid w:val="00A61C41"/>
    <w:rsid w:val="00A642AB"/>
    <w:rsid w:val="00A64C78"/>
    <w:rsid w:val="00A6656E"/>
    <w:rsid w:val="00A67C49"/>
    <w:rsid w:val="00A75D56"/>
    <w:rsid w:val="00A76071"/>
    <w:rsid w:val="00A768F0"/>
    <w:rsid w:val="00A77AEF"/>
    <w:rsid w:val="00A8017D"/>
    <w:rsid w:val="00A825CB"/>
    <w:rsid w:val="00A85B98"/>
    <w:rsid w:val="00A86B5C"/>
    <w:rsid w:val="00A87F8A"/>
    <w:rsid w:val="00A904DC"/>
    <w:rsid w:val="00A92002"/>
    <w:rsid w:val="00A93442"/>
    <w:rsid w:val="00A9362F"/>
    <w:rsid w:val="00A9411A"/>
    <w:rsid w:val="00A94780"/>
    <w:rsid w:val="00A95A17"/>
    <w:rsid w:val="00A978A2"/>
    <w:rsid w:val="00AA04E7"/>
    <w:rsid w:val="00AA3074"/>
    <w:rsid w:val="00AA3181"/>
    <w:rsid w:val="00AA3E88"/>
    <w:rsid w:val="00AA49F8"/>
    <w:rsid w:val="00AA4BCB"/>
    <w:rsid w:val="00AA668C"/>
    <w:rsid w:val="00AB664D"/>
    <w:rsid w:val="00AC0437"/>
    <w:rsid w:val="00AC08B9"/>
    <w:rsid w:val="00AC2A94"/>
    <w:rsid w:val="00AC378D"/>
    <w:rsid w:val="00AC7EC5"/>
    <w:rsid w:val="00AE0B96"/>
    <w:rsid w:val="00AE0E78"/>
    <w:rsid w:val="00AE3A09"/>
    <w:rsid w:val="00AE44D8"/>
    <w:rsid w:val="00AE4C5F"/>
    <w:rsid w:val="00AE54B6"/>
    <w:rsid w:val="00AE6680"/>
    <w:rsid w:val="00AF1B1D"/>
    <w:rsid w:val="00AF31F5"/>
    <w:rsid w:val="00AF3F22"/>
    <w:rsid w:val="00AF53F2"/>
    <w:rsid w:val="00AF56A9"/>
    <w:rsid w:val="00AF6DB8"/>
    <w:rsid w:val="00AF710D"/>
    <w:rsid w:val="00AF7BA9"/>
    <w:rsid w:val="00B01C60"/>
    <w:rsid w:val="00B032F1"/>
    <w:rsid w:val="00B044ED"/>
    <w:rsid w:val="00B04AD7"/>
    <w:rsid w:val="00B067C3"/>
    <w:rsid w:val="00B1093E"/>
    <w:rsid w:val="00B11896"/>
    <w:rsid w:val="00B11FEE"/>
    <w:rsid w:val="00B12E0A"/>
    <w:rsid w:val="00B15969"/>
    <w:rsid w:val="00B15BBE"/>
    <w:rsid w:val="00B16E23"/>
    <w:rsid w:val="00B171AC"/>
    <w:rsid w:val="00B209D0"/>
    <w:rsid w:val="00B21AC1"/>
    <w:rsid w:val="00B22790"/>
    <w:rsid w:val="00B231AE"/>
    <w:rsid w:val="00B2336D"/>
    <w:rsid w:val="00B267F0"/>
    <w:rsid w:val="00B30EC9"/>
    <w:rsid w:val="00B31AE0"/>
    <w:rsid w:val="00B32A18"/>
    <w:rsid w:val="00B32DFA"/>
    <w:rsid w:val="00B33751"/>
    <w:rsid w:val="00B3684F"/>
    <w:rsid w:val="00B376FA"/>
    <w:rsid w:val="00B37CC1"/>
    <w:rsid w:val="00B40D31"/>
    <w:rsid w:val="00B41356"/>
    <w:rsid w:val="00B41DF2"/>
    <w:rsid w:val="00B42C03"/>
    <w:rsid w:val="00B438E9"/>
    <w:rsid w:val="00B443F4"/>
    <w:rsid w:val="00B45D84"/>
    <w:rsid w:val="00B52296"/>
    <w:rsid w:val="00B54CB8"/>
    <w:rsid w:val="00B55A62"/>
    <w:rsid w:val="00B6172C"/>
    <w:rsid w:val="00B620B4"/>
    <w:rsid w:val="00B64C5F"/>
    <w:rsid w:val="00B65587"/>
    <w:rsid w:val="00B65702"/>
    <w:rsid w:val="00B70183"/>
    <w:rsid w:val="00B70B13"/>
    <w:rsid w:val="00B72BDF"/>
    <w:rsid w:val="00B73491"/>
    <w:rsid w:val="00B75FA6"/>
    <w:rsid w:val="00B80F50"/>
    <w:rsid w:val="00B817DD"/>
    <w:rsid w:val="00B81A2C"/>
    <w:rsid w:val="00B85B49"/>
    <w:rsid w:val="00B86217"/>
    <w:rsid w:val="00B90311"/>
    <w:rsid w:val="00B92DA6"/>
    <w:rsid w:val="00B9319A"/>
    <w:rsid w:val="00B941D0"/>
    <w:rsid w:val="00B945A2"/>
    <w:rsid w:val="00B96383"/>
    <w:rsid w:val="00B96F99"/>
    <w:rsid w:val="00BA14DC"/>
    <w:rsid w:val="00BA1972"/>
    <w:rsid w:val="00BA2D23"/>
    <w:rsid w:val="00BA3105"/>
    <w:rsid w:val="00BA4914"/>
    <w:rsid w:val="00BA5572"/>
    <w:rsid w:val="00BA6423"/>
    <w:rsid w:val="00BA7522"/>
    <w:rsid w:val="00BA7FA9"/>
    <w:rsid w:val="00BB1004"/>
    <w:rsid w:val="00BB10C8"/>
    <w:rsid w:val="00BB3374"/>
    <w:rsid w:val="00BB3E49"/>
    <w:rsid w:val="00BB5678"/>
    <w:rsid w:val="00BB5B95"/>
    <w:rsid w:val="00BB6450"/>
    <w:rsid w:val="00BB773E"/>
    <w:rsid w:val="00BC063C"/>
    <w:rsid w:val="00BC0AA3"/>
    <w:rsid w:val="00BC3A3D"/>
    <w:rsid w:val="00BC4FC3"/>
    <w:rsid w:val="00BC64D1"/>
    <w:rsid w:val="00BE17EB"/>
    <w:rsid w:val="00BE1C22"/>
    <w:rsid w:val="00BE4646"/>
    <w:rsid w:val="00BE7CD7"/>
    <w:rsid w:val="00BF039E"/>
    <w:rsid w:val="00BF5C6A"/>
    <w:rsid w:val="00BF6318"/>
    <w:rsid w:val="00BF7B47"/>
    <w:rsid w:val="00C0320F"/>
    <w:rsid w:val="00C040E9"/>
    <w:rsid w:val="00C04B9B"/>
    <w:rsid w:val="00C053FE"/>
    <w:rsid w:val="00C061B6"/>
    <w:rsid w:val="00C10E71"/>
    <w:rsid w:val="00C1183D"/>
    <w:rsid w:val="00C131A5"/>
    <w:rsid w:val="00C14EEE"/>
    <w:rsid w:val="00C171C2"/>
    <w:rsid w:val="00C21931"/>
    <w:rsid w:val="00C230CB"/>
    <w:rsid w:val="00C250A5"/>
    <w:rsid w:val="00C268D0"/>
    <w:rsid w:val="00C30BC1"/>
    <w:rsid w:val="00C313A8"/>
    <w:rsid w:val="00C37F07"/>
    <w:rsid w:val="00C40CAE"/>
    <w:rsid w:val="00C414CD"/>
    <w:rsid w:val="00C445CD"/>
    <w:rsid w:val="00C47152"/>
    <w:rsid w:val="00C476D3"/>
    <w:rsid w:val="00C47E60"/>
    <w:rsid w:val="00C54EF7"/>
    <w:rsid w:val="00C5645F"/>
    <w:rsid w:val="00C569A2"/>
    <w:rsid w:val="00C57CA0"/>
    <w:rsid w:val="00C60E6B"/>
    <w:rsid w:val="00C629B3"/>
    <w:rsid w:val="00C641D4"/>
    <w:rsid w:val="00C64A27"/>
    <w:rsid w:val="00C65375"/>
    <w:rsid w:val="00C66298"/>
    <w:rsid w:val="00C67907"/>
    <w:rsid w:val="00C70DBA"/>
    <w:rsid w:val="00C7176D"/>
    <w:rsid w:val="00C725E7"/>
    <w:rsid w:val="00C81065"/>
    <w:rsid w:val="00C823AD"/>
    <w:rsid w:val="00C82CEC"/>
    <w:rsid w:val="00C83BC1"/>
    <w:rsid w:val="00C86226"/>
    <w:rsid w:val="00C86586"/>
    <w:rsid w:val="00C86796"/>
    <w:rsid w:val="00C8766E"/>
    <w:rsid w:val="00C919D6"/>
    <w:rsid w:val="00C94894"/>
    <w:rsid w:val="00C94A99"/>
    <w:rsid w:val="00C95327"/>
    <w:rsid w:val="00CA0D7F"/>
    <w:rsid w:val="00CA1188"/>
    <w:rsid w:val="00CA1527"/>
    <w:rsid w:val="00CA2DD4"/>
    <w:rsid w:val="00CB02C6"/>
    <w:rsid w:val="00CB1202"/>
    <w:rsid w:val="00CB4B69"/>
    <w:rsid w:val="00CB4D8A"/>
    <w:rsid w:val="00CC3132"/>
    <w:rsid w:val="00CC47B1"/>
    <w:rsid w:val="00CC52B7"/>
    <w:rsid w:val="00CC5FA1"/>
    <w:rsid w:val="00CC7E14"/>
    <w:rsid w:val="00CD0741"/>
    <w:rsid w:val="00CD1952"/>
    <w:rsid w:val="00CD3A6B"/>
    <w:rsid w:val="00CD3D83"/>
    <w:rsid w:val="00CD4E07"/>
    <w:rsid w:val="00CE34F5"/>
    <w:rsid w:val="00CF0D78"/>
    <w:rsid w:val="00CF1BCA"/>
    <w:rsid w:val="00CF5484"/>
    <w:rsid w:val="00CF6A87"/>
    <w:rsid w:val="00D0049B"/>
    <w:rsid w:val="00D03B07"/>
    <w:rsid w:val="00D03B21"/>
    <w:rsid w:val="00D05C85"/>
    <w:rsid w:val="00D0633B"/>
    <w:rsid w:val="00D10C50"/>
    <w:rsid w:val="00D127DD"/>
    <w:rsid w:val="00D14243"/>
    <w:rsid w:val="00D14405"/>
    <w:rsid w:val="00D157F5"/>
    <w:rsid w:val="00D16C6C"/>
    <w:rsid w:val="00D17A59"/>
    <w:rsid w:val="00D20A0E"/>
    <w:rsid w:val="00D2207C"/>
    <w:rsid w:val="00D22C30"/>
    <w:rsid w:val="00D230A1"/>
    <w:rsid w:val="00D235E9"/>
    <w:rsid w:val="00D26727"/>
    <w:rsid w:val="00D30BE6"/>
    <w:rsid w:val="00D31544"/>
    <w:rsid w:val="00D31642"/>
    <w:rsid w:val="00D31CDE"/>
    <w:rsid w:val="00D3551E"/>
    <w:rsid w:val="00D35A63"/>
    <w:rsid w:val="00D37F9E"/>
    <w:rsid w:val="00D43766"/>
    <w:rsid w:val="00D447D1"/>
    <w:rsid w:val="00D45920"/>
    <w:rsid w:val="00D4794A"/>
    <w:rsid w:val="00D537AA"/>
    <w:rsid w:val="00D55A8D"/>
    <w:rsid w:val="00D6196A"/>
    <w:rsid w:val="00D61FC5"/>
    <w:rsid w:val="00D650F0"/>
    <w:rsid w:val="00D708A7"/>
    <w:rsid w:val="00D70A01"/>
    <w:rsid w:val="00D730C5"/>
    <w:rsid w:val="00D7395F"/>
    <w:rsid w:val="00D73A18"/>
    <w:rsid w:val="00D74473"/>
    <w:rsid w:val="00D74605"/>
    <w:rsid w:val="00D7561E"/>
    <w:rsid w:val="00D82F2A"/>
    <w:rsid w:val="00D856C4"/>
    <w:rsid w:val="00D900B0"/>
    <w:rsid w:val="00D94307"/>
    <w:rsid w:val="00D95059"/>
    <w:rsid w:val="00D9665E"/>
    <w:rsid w:val="00D967D9"/>
    <w:rsid w:val="00DA0574"/>
    <w:rsid w:val="00DA10DA"/>
    <w:rsid w:val="00DA112E"/>
    <w:rsid w:val="00DA1B0F"/>
    <w:rsid w:val="00DA20CC"/>
    <w:rsid w:val="00DA3063"/>
    <w:rsid w:val="00DA33CF"/>
    <w:rsid w:val="00DA4C6F"/>
    <w:rsid w:val="00DA58F5"/>
    <w:rsid w:val="00DA7B9C"/>
    <w:rsid w:val="00DA7DD8"/>
    <w:rsid w:val="00DB11F0"/>
    <w:rsid w:val="00DB161F"/>
    <w:rsid w:val="00DB3E09"/>
    <w:rsid w:val="00DB4248"/>
    <w:rsid w:val="00DB5CAD"/>
    <w:rsid w:val="00DC02D9"/>
    <w:rsid w:val="00DC1CFC"/>
    <w:rsid w:val="00DC48AE"/>
    <w:rsid w:val="00DC6FDD"/>
    <w:rsid w:val="00DD0480"/>
    <w:rsid w:val="00DD10B9"/>
    <w:rsid w:val="00DD4B2A"/>
    <w:rsid w:val="00DD60D5"/>
    <w:rsid w:val="00DD62DC"/>
    <w:rsid w:val="00DD6614"/>
    <w:rsid w:val="00DD71BE"/>
    <w:rsid w:val="00DD75C8"/>
    <w:rsid w:val="00DE266A"/>
    <w:rsid w:val="00DE3176"/>
    <w:rsid w:val="00DE6077"/>
    <w:rsid w:val="00DF21D3"/>
    <w:rsid w:val="00DF274E"/>
    <w:rsid w:val="00DF29AB"/>
    <w:rsid w:val="00DF4011"/>
    <w:rsid w:val="00DF40B0"/>
    <w:rsid w:val="00DF46B4"/>
    <w:rsid w:val="00DF471D"/>
    <w:rsid w:val="00DF58AD"/>
    <w:rsid w:val="00DF6FAC"/>
    <w:rsid w:val="00E02735"/>
    <w:rsid w:val="00E032C6"/>
    <w:rsid w:val="00E070B0"/>
    <w:rsid w:val="00E10875"/>
    <w:rsid w:val="00E111F8"/>
    <w:rsid w:val="00E136DB"/>
    <w:rsid w:val="00E217CD"/>
    <w:rsid w:val="00E23853"/>
    <w:rsid w:val="00E2514C"/>
    <w:rsid w:val="00E25C73"/>
    <w:rsid w:val="00E265AF"/>
    <w:rsid w:val="00E269D5"/>
    <w:rsid w:val="00E26B97"/>
    <w:rsid w:val="00E32419"/>
    <w:rsid w:val="00E32B6B"/>
    <w:rsid w:val="00E32D8E"/>
    <w:rsid w:val="00E35572"/>
    <w:rsid w:val="00E3603F"/>
    <w:rsid w:val="00E367D2"/>
    <w:rsid w:val="00E36909"/>
    <w:rsid w:val="00E4035F"/>
    <w:rsid w:val="00E40CFC"/>
    <w:rsid w:val="00E45BE8"/>
    <w:rsid w:val="00E46262"/>
    <w:rsid w:val="00E50F6B"/>
    <w:rsid w:val="00E54671"/>
    <w:rsid w:val="00E56E18"/>
    <w:rsid w:val="00E65BA2"/>
    <w:rsid w:val="00E71C9E"/>
    <w:rsid w:val="00E71D87"/>
    <w:rsid w:val="00E734D0"/>
    <w:rsid w:val="00E768DA"/>
    <w:rsid w:val="00E84BD4"/>
    <w:rsid w:val="00E929C1"/>
    <w:rsid w:val="00EA00E7"/>
    <w:rsid w:val="00EA31DD"/>
    <w:rsid w:val="00EA604B"/>
    <w:rsid w:val="00EB20FF"/>
    <w:rsid w:val="00EB2128"/>
    <w:rsid w:val="00EB2662"/>
    <w:rsid w:val="00EB488A"/>
    <w:rsid w:val="00EB5FAD"/>
    <w:rsid w:val="00EB62F8"/>
    <w:rsid w:val="00EB6CD0"/>
    <w:rsid w:val="00EC0958"/>
    <w:rsid w:val="00EC0D22"/>
    <w:rsid w:val="00EC22AA"/>
    <w:rsid w:val="00EC3587"/>
    <w:rsid w:val="00EC3B04"/>
    <w:rsid w:val="00EC3BFC"/>
    <w:rsid w:val="00EC60E0"/>
    <w:rsid w:val="00EC7790"/>
    <w:rsid w:val="00ED0503"/>
    <w:rsid w:val="00ED29B3"/>
    <w:rsid w:val="00ED4098"/>
    <w:rsid w:val="00ED4952"/>
    <w:rsid w:val="00ED4995"/>
    <w:rsid w:val="00ED6066"/>
    <w:rsid w:val="00ED762A"/>
    <w:rsid w:val="00EE191B"/>
    <w:rsid w:val="00EE20D7"/>
    <w:rsid w:val="00EE2725"/>
    <w:rsid w:val="00EE3048"/>
    <w:rsid w:val="00EE3CC4"/>
    <w:rsid w:val="00EE4711"/>
    <w:rsid w:val="00EE4BDF"/>
    <w:rsid w:val="00EE6B6E"/>
    <w:rsid w:val="00EE7496"/>
    <w:rsid w:val="00EE77CF"/>
    <w:rsid w:val="00EE7B0E"/>
    <w:rsid w:val="00EF26DD"/>
    <w:rsid w:val="00EF435E"/>
    <w:rsid w:val="00EF50F2"/>
    <w:rsid w:val="00EF570B"/>
    <w:rsid w:val="00EF64D5"/>
    <w:rsid w:val="00EF658C"/>
    <w:rsid w:val="00EF7EE9"/>
    <w:rsid w:val="00F0015B"/>
    <w:rsid w:val="00F04BF4"/>
    <w:rsid w:val="00F04E65"/>
    <w:rsid w:val="00F05B3B"/>
    <w:rsid w:val="00F0704A"/>
    <w:rsid w:val="00F14587"/>
    <w:rsid w:val="00F151C5"/>
    <w:rsid w:val="00F17142"/>
    <w:rsid w:val="00F20449"/>
    <w:rsid w:val="00F2077D"/>
    <w:rsid w:val="00F214E7"/>
    <w:rsid w:val="00F2171C"/>
    <w:rsid w:val="00F25C37"/>
    <w:rsid w:val="00F26138"/>
    <w:rsid w:val="00F26684"/>
    <w:rsid w:val="00F27A3D"/>
    <w:rsid w:val="00F30E56"/>
    <w:rsid w:val="00F310C0"/>
    <w:rsid w:val="00F32CDF"/>
    <w:rsid w:val="00F341D9"/>
    <w:rsid w:val="00F37460"/>
    <w:rsid w:val="00F42911"/>
    <w:rsid w:val="00F43F7D"/>
    <w:rsid w:val="00F5282B"/>
    <w:rsid w:val="00F52B88"/>
    <w:rsid w:val="00F530AB"/>
    <w:rsid w:val="00F60E7D"/>
    <w:rsid w:val="00F6113C"/>
    <w:rsid w:val="00F61A9F"/>
    <w:rsid w:val="00F61BDF"/>
    <w:rsid w:val="00F64030"/>
    <w:rsid w:val="00F657D4"/>
    <w:rsid w:val="00F659B3"/>
    <w:rsid w:val="00F660D9"/>
    <w:rsid w:val="00F7071A"/>
    <w:rsid w:val="00F72D98"/>
    <w:rsid w:val="00F738E9"/>
    <w:rsid w:val="00F742E0"/>
    <w:rsid w:val="00F75A72"/>
    <w:rsid w:val="00F76251"/>
    <w:rsid w:val="00F81E70"/>
    <w:rsid w:val="00F82003"/>
    <w:rsid w:val="00F83396"/>
    <w:rsid w:val="00F851D9"/>
    <w:rsid w:val="00F862CB"/>
    <w:rsid w:val="00F90286"/>
    <w:rsid w:val="00F93DCB"/>
    <w:rsid w:val="00F96FCC"/>
    <w:rsid w:val="00FA0B12"/>
    <w:rsid w:val="00FA34BF"/>
    <w:rsid w:val="00FA734D"/>
    <w:rsid w:val="00FB286B"/>
    <w:rsid w:val="00FB2D6A"/>
    <w:rsid w:val="00FB3A97"/>
    <w:rsid w:val="00FB4180"/>
    <w:rsid w:val="00FB7AFC"/>
    <w:rsid w:val="00FC016F"/>
    <w:rsid w:val="00FC4CE6"/>
    <w:rsid w:val="00FC5124"/>
    <w:rsid w:val="00FC60E1"/>
    <w:rsid w:val="00FC6748"/>
    <w:rsid w:val="00FD0ABC"/>
    <w:rsid w:val="00FD212B"/>
    <w:rsid w:val="00FD38C5"/>
    <w:rsid w:val="00FD51B4"/>
    <w:rsid w:val="00FD54FE"/>
    <w:rsid w:val="00FD5784"/>
    <w:rsid w:val="00FD6A3A"/>
    <w:rsid w:val="00FD79C1"/>
    <w:rsid w:val="00FE0FC1"/>
    <w:rsid w:val="00FE1BA1"/>
    <w:rsid w:val="00FE36A0"/>
    <w:rsid w:val="00FE5380"/>
    <w:rsid w:val="00FE5B25"/>
    <w:rsid w:val="00FE63A5"/>
    <w:rsid w:val="00FE7ABB"/>
    <w:rsid w:val="00FF0224"/>
    <w:rsid w:val="00FF4D7F"/>
    <w:rsid w:val="00FF6D7B"/>
    <w:rsid w:val="00FF72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A1A64"/>
  <w15:chartTrackingRefBased/>
  <w15:docId w15:val="{3114FD1A-FE95-4AE8-958E-6A7AC0DB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1D"/>
    <w:pPr>
      <w:ind w:left="720"/>
      <w:contextualSpacing/>
    </w:pPr>
  </w:style>
  <w:style w:type="paragraph" w:styleId="FootnoteText">
    <w:name w:val="footnote text"/>
    <w:basedOn w:val="Normal"/>
    <w:link w:val="FootnoteTextChar"/>
    <w:uiPriority w:val="99"/>
    <w:semiHidden/>
    <w:unhideWhenUsed/>
    <w:rsid w:val="00DF4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71D"/>
    <w:rPr>
      <w:sz w:val="20"/>
      <w:szCs w:val="20"/>
    </w:rPr>
  </w:style>
  <w:style w:type="character" w:styleId="FootnoteReference">
    <w:name w:val="footnote reference"/>
    <w:basedOn w:val="DefaultParagraphFont"/>
    <w:uiPriority w:val="99"/>
    <w:semiHidden/>
    <w:unhideWhenUsed/>
    <w:rsid w:val="00DF471D"/>
    <w:rPr>
      <w:vertAlign w:val="superscript"/>
    </w:rPr>
  </w:style>
  <w:style w:type="paragraph" w:styleId="BalloonText">
    <w:name w:val="Balloon Text"/>
    <w:basedOn w:val="Normal"/>
    <w:link w:val="BalloonTextChar"/>
    <w:uiPriority w:val="99"/>
    <w:semiHidden/>
    <w:unhideWhenUsed/>
    <w:rsid w:val="0067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46"/>
    <w:rPr>
      <w:rFonts w:ascii="Segoe UI" w:hAnsi="Segoe UI" w:cs="Segoe UI"/>
      <w:sz w:val="18"/>
      <w:szCs w:val="18"/>
    </w:rPr>
  </w:style>
  <w:style w:type="character" w:styleId="CommentReference">
    <w:name w:val="annotation reference"/>
    <w:basedOn w:val="DefaultParagraphFont"/>
    <w:uiPriority w:val="99"/>
    <w:semiHidden/>
    <w:unhideWhenUsed/>
    <w:rsid w:val="0070572A"/>
    <w:rPr>
      <w:sz w:val="16"/>
      <w:szCs w:val="16"/>
    </w:rPr>
  </w:style>
  <w:style w:type="paragraph" w:styleId="CommentText">
    <w:name w:val="annotation text"/>
    <w:basedOn w:val="Normal"/>
    <w:link w:val="CommentTextChar"/>
    <w:uiPriority w:val="99"/>
    <w:semiHidden/>
    <w:unhideWhenUsed/>
    <w:rsid w:val="0070572A"/>
    <w:pPr>
      <w:spacing w:line="240" w:lineRule="auto"/>
    </w:pPr>
    <w:rPr>
      <w:sz w:val="20"/>
      <w:szCs w:val="20"/>
    </w:rPr>
  </w:style>
  <w:style w:type="character" w:customStyle="1" w:styleId="CommentTextChar">
    <w:name w:val="Comment Text Char"/>
    <w:basedOn w:val="DefaultParagraphFont"/>
    <w:link w:val="CommentText"/>
    <w:uiPriority w:val="99"/>
    <w:semiHidden/>
    <w:rsid w:val="0070572A"/>
    <w:rPr>
      <w:sz w:val="20"/>
      <w:szCs w:val="20"/>
    </w:rPr>
  </w:style>
  <w:style w:type="paragraph" w:styleId="CommentSubject">
    <w:name w:val="annotation subject"/>
    <w:basedOn w:val="CommentText"/>
    <w:next w:val="CommentText"/>
    <w:link w:val="CommentSubjectChar"/>
    <w:uiPriority w:val="99"/>
    <w:semiHidden/>
    <w:unhideWhenUsed/>
    <w:rsid w:val="0070572A"/>
    <w:rPr>
      <w:b/>
      <w:bCs/>
    </w:rPr>
  </w:style>
  <w:style w:type="character" w:customStyle="1" w:styleId="CommentSubjectChar">
    <w:name w:val="Comment Subject Char"/>
    <w:basedOn w:val="CommentTextChar"/>
    <w:link w:val="CommentSubject"/>
    <w:uiPriority w:val="99"/>
    <w:semiHidden/>
    <w:rsid w:val="0070572A"/>
    <w:rPr>
      <w:b/>
      <w:bCs/>
      <w:sz w:val="20"/>
      <w:szCs w:val="20"/>
    </w:rPr>
  </w:style>
  <w:style w:type="paragraph" w:styleId="Revision">
    <w:name w:val="Revision"/>
    <w:hidden/>
    <w:uiPriority w:val="99"/>
    <w:semiHidden/>
    <w:rsid w:val="0070572A"/>
    <w:pPr>
      <w:spacing w:after="0" w:line="240" w:lineRule="auto"/>
    </w:pPr>
  </w:style>
  <w:style w:type="paragraph" w:styleId="Header">
    <w:name w:val="header"/>
    <w:basedOn w:val="Normal"/>
    <w:link w:val="HeaderChar"/>
    <w:uiPriority w:val="99"/>
    <w:unhideWhenUsed/>
    <w:rsid w:val="00F2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71C"/>
  </w:style>
  <w:style w:type="paragraph" w:styleId="Footer">
    <w:name w:val="footer"/>
    <w:basedOn w:val="Normal"/>
    <w:link w:val="FooterChar"/>
    <w:uiPriority w:val="99"/>
    <w:unhideWhenUsed/>
    <w:rsid w:val="00F2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71C"/>
  </w:style>
  <w:style w:type="paragraph" w:customStyle="1" w:styleId="history-note">
    <w:name w:val="history-note"/>
    <w:basedOn w:val="Normal"/>
    <w:rsid w:val="003F36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mended-provision">
    <w:name w:val="amended-provision"/>
    <w:basedOn w:val="DefaultParagraphFont"/>
    <w:rsid w:val="003F36AF"/>
  </w:style>
  <w:style w:type="character" w:customStyle="1" w:styleId="amending-operation">
    <w:name w:val="amending-operation"/>
    <w:basedOn w:val="DefaultParagraphFont"/>
    <w:rsid w:val="003F36AF"/>
  </w:style>
  <w:style w:type="character" w:customStyle="1" w:styleId="amendment-date">
    <w:name w:val="amendment-date"/>
    <w:basedOn w:val="DefaultParagraphFont"/>
    <w:rsid w:val="003F36AF"/>
  </w:style>
  <w:style w:type="character" w:styleId="Hyperlink">
    <w:name w:val="Hyperlink"/>
    <w:basedOn w:val="DefaultParagraphFont"/>
    <w:uiPriority w:val="99"/>
    <w:unhideWhenUsed/>
    <w:rsid w:val="003F36AF"/>
    <w:rPr>
      <w:color w:val="0000FF"/>
      <w:u w:val="single"/>
    </w:rPr>
  </w:style>
  <w:style w:type="character" w:customStyle="1" w:styleId="UnresolvedMention1">
    <w:name w:val="Unresolved Mention1"/>
    <w:basedOn w:val="DefaultParagraphFont"/>
    <w:uiPriority w:val="99"/>
    <w:semiHidden/>
    <w:unhideWhenUsed/>
    <w:rsid w:val="006F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725">
      <w:bodyDiv w:val="1"/>
      <w:marLeft w:val="0"/>
      <w:marRight w:val="0"/>
      <w:marTop w:val="0"/>
      <w:marBottom w:val="0"/>
      <w:divBdr>
        <w:top w:val="none" w:sz="0" w:space="0" w:color="auto"/>
        <w:left w:val="none" w:sz="0" w:space="0" w:color="auto"/>
        <w:bottom w:val="none" w:sz="0" w:space="0" w:color="auto"/>
        <w:right w:val="none" w:sz="0" w:space="0" w:color="auto"/>
      </w:divBdr>
      <w:divsChild>
        <w:div w:id="680161437">
          <w:marLeft w:val="0"/>
          <w:marRight w:val="0"/>
          <w:marTop w:val="83"/>
          <w:marBottom w:val="0"/>
          <w:divBdr>
            <w:top w:val="none" w:sz="0" w:space="0" w:color="auto"/>
            <w:left w:val="none" w:sz="0" w:space="0" w:color="auto"/>
            <w:bottom w:val="none" w:sz="0" w:space="0" w:color="auto"/>
            <w:right w:val="none" w:sz="0" w:space="0" w:color="auto"/>
          </w:divBdr>
          <w:divsChild>
            <w:div w:id="1394742872">
              <w:marLeft w:val="0"/>
              <w:marRight w:val="0"/>
              <w:marTop w:val="83"/>
              <w:marBottom w:val="0"/>
              <w:divBdr>
                <w:top w:val="none" w:sz="0" w:space="0" w:color="auto"/>
                <w:left w:val="none" w:sz="0" w:space="0" w:color="auto"/>
                <w:bottom w:val="none" w:sz="0" w:space="0" w:color="auto"/>
                <w:right w:val="none" w:sz="0" w:space="0" w:color="auto"/>
              </w:divBdr>
            </w:div>
            <w:div w:id="1462922450">
              <w:marLeft w:val="0"/>
              <w:marRight w:val="0"/>
              <w:marTop w:val="83"/>
              <w:marBottom w:val="0"/>
              <w:divBdr>
                <w:top w:val="none" w:sz="0" w:space="0" w:color="auto"/>
                <w:left w:val="none" w:sz="0" w:space="0" w:color="auto"/>
                <w:bottom w:val="none" w:sz="0" w:space="0" w:color="auto"/>
                <w:right w:val="none" w:sz="0" w:space="0" w:color="auto"/>
              </w:divBdr>
              <w:divsChild>
                <w:div w:id="1203979793">
                  <w:marLeft w:val="0"/>
                  <w:marRight w:val="0"/>
                  <w:marTop w:val="83"/>
                  <w:marBottom w:val="0"/>
                  <w:divBdr>
                    <w:top w:val="none" w:sz="0" w:space="0" w:color="auto"/>
                    <w:left w:val="none" w:sz="0" w:space="0" w:color="auto"/>
                    <w:bottom w:val="none" w:sz="0" w:space="0" w:color="auto"/>
                    <w:right w:val="none" w:sz="0" w:space="0" w:color="auto"/>
                  </w:divBdr>
                </w:div>
                <w:div w:id="353389712">
                  <w:marLeft w:val="0"/>
                  <w:marRight w:val="0"/>
                  <w:marTop w:val="83"/>
                  <w:marBottom w:val="0"/>
                  <w:divBdr>
                    <w:top w:val="none" w:sz="0" w:space="0" w:color="auto"/>
                    <w:left w:val="none" w:sz="0" w:space="0" w:color="auto"/>
                    <w:bottom w:val="none" w:sz="0" w:space="0" w:color="auto"/>
                    <w:right w:val="none" w:sz="0" w:space="0" w:color="auto"/>
                  </w:divBdr>
                </w:div>
              </w:divsChild>
            </w:div>
            <w:div w:id="2129202374">
              <w:marLeft w:val="0"/>
              <w:marRight w:val="0"/>
              <w:marTop w:val="83"/>
              <w:marBottom w:val="0"/>
              <w:divBdr>
                <w:top w:val="none" w:sz="0" w:space="0" w:color="auto"/>
                <w:left w:val="none" w:sz="0" w:space="0" w:color="auto"/>
                <w:bottom w:val="none" w:sz="0" w:space="0" w:color="auto"/>
                <w:right w:val="none" w:sz="0" w:space="0" w:color="auto"/>
              </w:divBdr>
              <w:divsChild>
                <w:div w:id="1267544168">
                  <w:marLeft w:val="0"/>
                  <w:marRight w:val="0"/>
                  <w:marTop w:val="83"/>
                  <w:marBottom w:val="0"/>
                  <w:divBdr>
                    <w:top w:val="none" w:sz="0" w:space="0" w:color="auto"/>
                    <w:left w:val="none" w:sz="0" w:space="0" w:color="auto"/>
                    <w:bottom w:val="none" w:sz="0" w:space="0" w:color="auto"/>
                    <w:right w:val="none" w:sz="0" w:space="0" w:color="auto"/>
                  </w:divBdr>
                </w:div>
                <w:div w:id="591594326">
                  <w:marLeft w:val="0"/>
                  <w:marRight w:val="0"/>
                  <w:marTop w:val="83"/>
                  <w:marBottom w:val="0"/>
                  <w:divBdr>
                    <w:top w:val="none" w:sz="0" w:space="0" w:color="auto"/>
                    <w:left w:val="none" w:sz="0" w:space="0" w:color="auto"/>
                    <w:bottom w:val="none" w:sz="0" w:space="0" w:color="auto"/>
                    <w:right w:val="none" w:sz="0" w:space="0" w:color="auto"/>
                  </w:divBdr>
                </w:div>
              </w:divsChild>
            </w:div>
            <w:div w:id="273558802">
              <w:marLeft w:val="0"/>
              <w:marRight w:val="0"/>
              <w:marTop w:val="83"/>
              <w:marBottom w:val="0"/>
              <w:divBdr>
                <w:top w:val="none" w:sz="0" w:space="0" w:color="auto"/>
                <w:left w:val="none" w:sz="0" w:space="0" w:color="auto"/>
                <w:bottom w:val="none" w:sz="0" w:space="0" w:color="auto"/>
                <w:right w:val="none" w:sz="0" w:space="0" w:color="auto"/>
              </w:divBdr>
            </w:div>
          </w:divsChild>
        </w:div>
        <w:div w:id="1959868288">
          <w:marLeft w:val="0"/>
          <w:marRight w:val="0"/>
          <w:marTop w:val="83"/>
          <w:marBottom w:val="0"/>
          <w:divBdr>
            <w:top w:val="none" w:sz="0" w:space="0" w:color="auto"/>
            <w:left w:val="none" w:sz="0" w:space="0" w:color="auto"/>
            <w:bottom w:val="none" w:sz="0" w:space="0" w:color="auto"/>
            <w:right w:val="none" w:sz="0" w:space="0" w:color="auto"/>
          </w:divBdr>
          <w:divsChild>
            <w:div w:id="1330252672">
              <w:marLeft w:val="0"/>
              <w:marRight w:val="0"/>
              <w:marTop w:val="83"/>
              <w:marBottom w:val="0"/>
              <w:divBdr>
                <w:top w:val="none" w:sz="0" w:space="0" w:color="auto"/>
                <w:left w:val="none" w:sz="0" w:space="0" w:color="auto"/>
                <w:bottom w:val="none" w:sz="0" w:space="0" w:color="auto"/>
                <w:right w:val="none" w:sz="0" w:space="0" w:color="auto"/>
              </w:divBdr>
            </w:div>
            <w:div w:id="857236495">
              <w:marLeft w:val="0"/>
              <w:marRight w:val="0"/>
              <w:marTop w:val="83"/>
              <w:marBottom w:val="0"/>
              <w:divBdr>
                <w:top w:val="none" w:sz="0" w:space="0" w:color="auto"/>
                <w:left w:val="none" w:sz="0" w:space="0" w:color="auto"/>
                <w:bottom w:val="none" w:sz="0" w:space="0" w:color="auto"/>
                <w:right w:val="none" w:sz="0" w:space="0" w:color="auto"/>
              </w:divBdr>
            </w:div>
            <w:div w:id="1116366661">
              <w:marLeft w:val="0"/>
              <w:marRight w:val="0"/>
              <w:marTop w:val="83"/>
              <w:marBottom w:val="0"/>
              <w:divBdr>
                <w:top w:val="none" w:sz="0" w:space="0" w:color="auto"/>
                <w:left w:val="none" w:sz="0" w:space="0" w:color="auto"/>
                <w:bottom w:val="none" w:sz="0" w:space="0" w:color="auto"/>
                <w:right w:val="none" w:sz="0" w:space="0" w:color="auto"/>
              </w:divBdr>
            </w:div>
            <w:div w:id="1728452916">
              <w:marLeft w:val="0"/>
              <w:marRight w:val="0"/>
              <w:marTop w:val="83"/>
              <w:marBottom w:val="0"/>
              <w:divBdr>
                <w:top w:val="none" w:sz="0" w:space="0" w:color="auto"/>
                <w:left w:val="none" w:sz="0" w:space="0" w:color="auto"/>
                <w:bottom w:val="none" w:sz="0" w:space="0" w:color="auto"/>
                <w:right w:val="none" w:sz="0" w:space="0" w:color="auto"/>
              </w:divBdr>
            </w:div>
          </w:divsChild>
        </w:div>
        <w:div w:id="1356927071">
          <w:marLeft w:val="0"/>
          <w:marRight w:val="0"/>
          <w:marTop w:val="83"/>
          <w:marBottom w:val="0"/>
          <w:divBdr>
            <w:top w:val="none" w:sz="0" w:space="0" w:color="auto"/>
            <w:left w:val="none" w:sz="0" w:space="0" w:color="auto"/>
            <w:bottom w:val="none" w:sz="0" w:space="0" w:color="auto"/>
            <w:right w:val="none" w:sz="0" w:space="0" w:color="auto"/>
          </w:divBdr>
          <w:divsChild>
            <w:div w:id="1385106247">
              <w:marLeft w:val="0"/>
              <w:marRight w:val="0"/>
              <w:marTop w:val="83"/>
              <w:marBottom w:val="0"/>
              <w:divBdr>
                <w:top w:val="none" w:sz="0" w:space="0" w:color="auto"/>
                <w:left w:val="none" w:sz="0" w:space="0" w:color="auto"/>
                <w:bottom w:val="none" w:sz="0" w:space="0" w:color="auto"/>
                <w:right w:val="none" w:sz="0" w:space="0" w:color="auto"/>
              </w:divBdr>
            </w:div>
            <w:div w:id="658964589">
              <w:marLeft w:val="0"/>
              <w:marRight w:val="0"/>
              <w:marTop w:val="83"/>
              <w:marBottom w:val="0"/>
              <w:divBdr>
                <w:top w:val="none" w:sz="0" w:space="0" w:color="auto"/>
                <w:left w:val="none" w:sz="0" w:space="0" w:color="auto"/>
                <w:bottom w:val="none" w:sz="0" w:space="0" w:color="auto"/>
                <w:right w:val="none" w:sz="0" w:space="0" w:color="auto"/>
              </w:divBdr>
            </w:div>
          </w:divsChild>
        </w:div>
        <w:div w:id="233861982">
          <w:marLeft w:val="0"/>
          <w:marRight w:val="0"/>
          <w:marTop w:val="83"/>
          <w:marBottom w:val="0"/>
          <w:divBdr>
            <w:top w:val="none" w:sz="0" w:space="0" w:color="auto"/>
            <w:left w:val="none" w:sz="0" w:space="0" w:color="auto"/>
            <w:bottom w:val="none" w:sz="0" w:space="0" w:color="auto"/>
            <w:right w:val="none" w:sz="0" w:space="0" w:color="auto"/>
          </w:divBdr>
        </w:div>
      </w:divsChild>
    </w:div>
    <w:div w:id="377166871">
      <w:bodyDiv w:val="1"/>
      <w:marLeft w:val="0"/>
      <w:marRight w:val="0"/>
      <w:marTop w:val="0"/>
      <w:marBottom w:val="0"/>
      <w:divBdr>
        <w:top w:val="none" w:sz="0" w:space="0" w:color="auto"/>
        <w:left w:val="none" w:sz="0" w:space="0" w:color="auto"/>
        <w:bottom w:val="none" w:sz="0" w:space="0" w:color="auto"/>
        <w:right w:val="none" w:sz="0" w:space="0" w:color="auto"/>
      </w:divBdr>
    </w:div>
    <w:div w:id="20480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nzasw.nz" TargetMode="External"/><Relationship Id="rId1" Type="http://schemas.openxmlformats.org/officeDocument/2006/relationships/hyperlink" Target="http://www.legislation.govt.nz/act/public/2003/0017/latest/link.aspx?id=DLM211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09F3-DA79-4512-A408-4D1977DF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8778</Words>
  <Characters>50037</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Hughson</dc:creator>
  <cp:keywords/>
  <dc:description/>
  <cp:lastModifiedBy>Jessica Schreiber</cp:lastModifiedBy>
  <cp:revision>2</cp:revision>
  <cp:lastPrinted>2020-12-01T01:28:00Z</cp:lastPrinted>
  <dcterms:created xsi:type="dcterms:W3CDTF">2021-02-03T02:26:00Z</dcterms:created>
  <dcterms:modified xsi:type="dcterms:W3CDTF">2021-02-03T02:26:00Z</dcterms:modified>
</cp:coreProperties>
</file>