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7508B" w14:textId="06ABF0A1" w:rsidR="007C0775" w:rsidRPr="006D30E6" w:rsidRDefault="007C0775" w:rsidP="007C0775">
      <w:pPr>
        <w:tabs>
          <w:tab w:val="left" w:pos="884"/>
          <w:tab w:val="left" w:pos="1418"/>
          <w:tab w:val="left" w:pos="3662"/>
          <w:tab w:val="left" w:pos="6213"/>
        </w:tabs>
        <w:spacing w:line="360" w:lineRule="auto"/>
        <w:ind w:left="6213" w:hanging="6213"/>
        <w:jc w:val="both"/>
        <w:rPr>
          <w:rFonts w:eastAsia="Times New Roman" w:cstheme="minorHAnsi"/>
          <w:b/>
          <w:snapToGrid w:val="0"/>
          <w:sz w:val="24"/>
          <w:szCs w:val="24"/>
        </w:rPr>
      </w:pPr>
      <w:r w:rsidRPr="006D30E6">
        <w:rPr>
          <w:rFonts w:eastAsia="Times New Roman" w:cstheme="minorHAnsi"/>
          <w:b/>
          <w:snapToGrid w:val="0"/>
          <w:sz w:val="24"/>
          <w:szCs w:val="24"/>
        </w:rPr>
        <w:t>BEFORE THE SOCIAL WORKERS COMPLAINTS AND DISCIPLINARY TRIBUNAL</w:t>
      </w:r>
    </w:p>
    <w:p w14:paraId="78699918" w14:textId="77777777" w:rsidR="007C0775" w:rsidRPr="006D30E6" w:rsidRDefault="007C0775" w:rsidP="007C0775">
      <w:pPr>
        <w:tabs>
          <w:tab w:val="left" w:pos="884"/>
          <w:tab w:val="left" w:pos="1418"/>
          <w:tab w:val="left" w:pos="2835"/>
          <w:tab w:val="left" w:pos="4536"/>
        </w:tabs>
        <w:spacing w:line="360" w:lineRule="auto"/>
        <w:ind w:left="4536" w:hanging="1701"/>
        <w:rPr>
          <w:rFonts w:eastAsia="Times New Roman" w:cstheme="minorHAnsi"/>
          <w:b/>
          <w:snapToGrid w:val="0"/>
          <w:sz w:val="24"/>
          <w:szCs w:val="24"/>
        </w:rPr>
      </w:pPr>
    </w:p>
    <w:p w14:paraId="06231B31" w14:textId="350FEFA6" w:rsidR="007C0775" w:rsidRPr="006D30E6" w:rsidRDefault="007C0775" w:rsidP="007C0775">
      <w:pPr>
        <w:tabs>
          <w:tab w:val="left" w:pos="884"/>
          <w:tab w:val="left" w:pos="1418"/>
          <w:tab w:val="left" w:pos="2835"/>
          <w:tab w:val="left" w:pos="4536"/>
        </w:tabs>
        <w:spacing w:line="360" w:lineRule="auto"/>
        <w:ind w:left="4536" w:hanging="1701"/>
        <w:rPr>
          <w:rFonts w:eastAsia="Times New Roman" w:cstheme="minorHAnsi"/>
          <w:b/>
          <w:snapToGrid w:val="0"/>
          <w:sz w:val="24"/>
          <w:szCs w:val="24"/>
        </w:rPr>
      </w:pPr>
      <w:r w:rsidRPr="006D30E6">
        <w:rPr>
          <w:rFonts w:eastAsia="Times New Roman" w:cstheme="minorHAnsi"/>
          <w:b/>
          <w:snapToGrid w:val="0"/>
          <w:sz w:val="24"/>
          <w:szCs w:val="24"/>
        </w:rPr>
        <w:t>REF</w:t>
      </w:r>
      <w:r w:rsidRPr="006D30E6">
        <w:rPr>
          <w:rFonts w:eastAsia="Times New Roman" w:cstheme="minorHAnsi"/>
          <w:b/>
          <w:snapToGrid w:val="0"/>
          <w:sz w:val="24"/>
          <w:szCs w:val="24"/>
        </w:rPr>
        <w:tab/>
      </w:r>
      <w:r w:rsidR="00722674" w:rsidRPr="006D30E6">
        <w:rPr>
          <w:rFonts w:eastAsia="Times New Roman" w:cstheme="minorHAnsi"/>
          <w:b/>
          <w:snapToGrid w:val="0"/>
          <w:sz w:val="24"/>
          <w:szCs w:val="24"/>
        </w:rPr>
        <w:t>RSW</w:t>
      </w:r>
      <w:r w:rsidR="008C653A" w:rsidRPr="006D30E6">
        <w:rPr>
          <w:rFonts w:eastAsia="Times New Roman" w:cstheme="minorHAnsi"/>
          <w:b/>
          <w:snapToGrid w:val="0"/>
          <w:sz w:val="24"/>
          <w:szCs w:val="24"/>
        </w:rPr>
        <w:t>10</w:t>
      </w:r>
      <w:r w:rsidR="00722674" w:rsidRPr="006D30E6">
        <w:rPr>
          <w:rFonts w:eastAsia="Times New Roman" w:cstheme="minorHAnsi"/>
          <w:b/>
          <w:snapToGrid w:val="0"/>
          <w:sz w:val="24"/>
          <w:szCs w:val="24"/>
        </w:rPr>
        <w:t>/D</w:t>
      </w:r>
      <w:r w:rsidR="00D1008B" w:rsidRPr="006D30E6">
        <w:rPr>
          <w:rFonts w:eastAsia="Times New Roman" w:cstheme="minorHAnsi"/>
          <w:b/>
          <w:snapToGrid w:val="0"/>
          <w:sz w:val="24"/>
          <w:szCs w:val="24"/>
        </w:rPr>
        <w:t>1</w:t>
      </w:r>
      <w:r w:rsidR="00722674" w:rsidRPr="006D30E6">
        <w:rPr>
          <w:rFonts w:eastAsia="Times New Roman" w:cstheme="minorHAnsi"/>
          <w:b/>
          <w:snapToGrid w:val="0"/>
          <w:sz w:val="24"/>
          <w:szCs w:val="24"/>
        </w:rPr>
        <w:t>/SWDT/20</w:t>
      </w:r>
      <w:r w:rsidR="008C653A" w:rsidRPr="006D30E6">
        <w:rPr>
          <w:rFonts w:eastAsia="Times New Roman" w:cstheme="minorHAnsi"/>
          <w:b/>
          <w:snapToGrid w:val="0"/>
          <w:sz w:val="24"/>
          <w:szCs w:val="24"/>
        </w:rPr>
        <w:t>20</w:t>
      </w:r>
    </w:p>
    <w:p w14:paraId="0BD6E8D1" w14:textId="77777777" w:rsidR="007C0775" w:rsidRPr="006D30E6" w:rsidRDefault="007C0775" w:rsidP="007C0775">
      <w:pPr>
        <w:tabs>
          <w:tab w:val="left" w:pos="884"/>
          <w:tab w:val="left" w:pos="1418"/>
          <w:tab w:val="left" w:pos="3402"/>
          <w:tab w:val="left" w:pos="6213"/>
        </w:tabs>
        <w:spacing w:line="360" w:lineRule="auto"/>
        <w:ind w:left="6214" w:hanging="6214"/>
        <w:rPr>
          <w:rFonts w:eastAsia="Times New Roman" w:cstheme="minorHAnsi"/>
          <w:b/>
          <w:snapToGrid w:val="0"/>
          <w:sz w:val="24"/>
          <w:szCs w:val="24"/>
        </w:rPr>
      </w:pPr>
    </w:p>
    <w:p w14:paraId="4EAE4E60" w14:textId="77777777" w:rsidR="007C0775" w:rsidRPr="006D30E6" w:rsidRDefault="007C0775" w:rsidP="007C0775">
      <w:pPr>
        <w:tabs>
          <w:tab w:val="left" w:pos="884"/>
          <w:tab w:val="left" w:pos="2268"/>
          <w:tab w:val="left" w:pos="3402"/>
          <w:tab w:val="left" w:pos="4536"/>
        </w:tabs>
        <w:spacing w:line="360" w:lineRule="auto"/>
        <w:ind w:left="4536" w:hanging="1701"/>
        <w:rPr>
          <w:rFonts w:eastAsia="Times" w:cstheme="minorHAnsi"/>
          <w:sz w:val="24"/>
          <w:szCs w:val="24"/>
          <w:lang w:val="en-GB"/>
        </w:rPr>
      </w:pPr>
      <w:r w:rsidRPr="006D30E6">
        <w:rPr>
          <w:rFonts w:eastAsia="Times" w:cstheme="minorHAnsi"/>
          <w:b/>
          <w:sz w:val="24"/>
          <w:szCs w:val="24"/>
          <w:lang w:val="en-GB"/>
        </w:rPr>
        <w:t>UNDER</w:t>
      </w:r>
      <w:r w:rsidRPr="006D30E6">
        <w:rPr>
          <w:rFonts w:eastAsia="Times" w:cstheme="minorHAnsi"/>
          <w:b/>
          <w:sz w:val="24"/>
          <w:szCs w:val="24"/>
          <w:lang w:val="en-GB"/>
        </w:rPr>
        <w:tab/>
      </w:r>
      <w:r w:rsidRPr="006D30E6">
        <w:rPr>
          <w:rFonts w:eastAsia="Times" w:cstheme="minorHAnsi"/>
          <w:sz w:val="24"/>
          <w:szCs w:val="24"/>
          <w:lang w:val="en-GB"/>
        </w:rPr>
        <w:t>the Social Workers Registration Act 2003 (“the Act”)</w:t>
      </w:r>
    </w:p>
    <w:p w14:paraId="10019869" w14:textId="77777777" w:rsidR="007C0775" w:rsidRPr="006D30E6" w:rsidRDefault="007C0775" w:rsidP="007C0775">
      <w:pPr>
        <w:tabs>
          <w:tab w:val="left" w:pos="884"/>
          <w:tab w:val="left" w:pos="1418"/>
          <w:tab w:val="left" w:pos="3662"/>
          <w:tab w:val="left" w:pos="4536"/>
        </w:tabs>
        <w:spacing w:line="360" w:lineRule="auto"/>
        <w:jc w:val="both"/>
        <w:rPr>
          <w:rFonts w:eastAsia="Times" w:cstheme="minorHAnsi"/>
          <w:sz w:val="24"/>
          <w:szCs w:val="24"/>
          <w:lang w:val="en-GB"/>
        </w:rPr>
      </w:pPr>
    </w:p>
    <w:p w14:paraId="2840BE53" w14:textId="77777777" w:rsidR="007C0775" w:rsidRPr="006D30E6" w:rsidRDefault="007C0775" w:rsidP="007C0775">
      <w:pPr>
        <w:tabs>
          <w:tab w:val="left" w:pos="884"/>
          <w:tab w:val="left" w:pos="1418"/>
          <w:tab w:val="left" w:pos="2268"/>
          <w:tab w:val="left" w:pos="4536"/>
        </w:tabs>
        <w:spacing w:line="360" w:lineRule="auto"/>
        <w:ind w:left="4536" w:right="-591" w:hanging="1701"/>
        <w:rPr>
          <w:rFonts w:eastAsia="Times" w:cstheme="minorHAnsi"/>
          <w:sz w:val="24"/>
          <w:szCs w:val="24"/>
          <w:lang w:val="en-GB"/>
        </w:rPr>
      </w:pPr>
      <w:r w:rsidRPr="006D30E6">
        <w:rPr>
          <w:rFonts w:eastAsia="Times" w:cstheme="minorHAnsi"/>
          <w:b/>
          <w:sz w:val="24"/>
          <w:szCs w:val="24"/>
          <w:lang w:val="en-GB"/>
        </w:rPr>
        <w:t xml:space="preserve">IN THE MATTER </w:t>
      </w:r>
      <w:r w:rsidRPr="006D30E6">
        <w:rPr>
          <w:rFonts w:eastAsia="Times" w:cstheme="minorHAnsi"/>
          <w:sz w:val="24"/>
          <w:szCs w:val="24"/>
          <w:lang w:val="en-GB"/>
        </w:rPr>
        <w:tab/>
        <w:t>of a disciplinary charge laid against a social worker under Part 4 of the Act.</w:t>
      </w:r>
    </w:p>
    <w:p w14:paraId="56D2493F" w14:textId="6E2AB71B" w:rsidR="007C0775" w:rsidRPr="006D30E6" w:rsidRDefault="007C0775" w:rsidP="007C0775">
      <w:pPr>
        <w:tabs>
          <w:tab w:val="left" w:pos="884"/>
          <w:tab w:val="left" w:pos="1418"/>
          <w:tab w:val="left" w:pos="1560"/>
          <w:tab w:val="left" w:pos="2835"/>
          <w:tab w:val="left" w:pos="4536"/>
        </w:tabs>
        <w:spacing w:line="360" w:lineRule="auto"/>
        <w:ind w:left="4536" w:hanging="1701"/>
        <w:rPr>
          <w:rFonts w:eastAsia="Times" w:cstheme="minorHAnsi"/>
          <w:sz w:val="24"/>
          <w:szCs w:val="24"/>
          <w:lang w:val="en-GB"/>
        </w:rPr>
      </w:pPr>
      <w:r w:rsidRPr="006D30E6">
        <w:rPr>
          <w:rFonts w:eastAsia="Times" w:cstheme="minorHAnsi"/>
          <w:b/>
          <w:sz w:val="24"/>
          <w:szCs w:val="24"/>
          <w:lang w:val="en-GB"/>
        </w:rPr>
        <w:t>BETWEEN</w:t>
      </w:r>
      <w:r w:rsidRPr="006D30E6">
        <w:rPr>
          <w:rFonts w:eastAsia="Times" w:cstheme="minorHAnsi"/>
          <w:b/>
          <w:sz w:val="24"/>
          <w:szCs w:val="24"/>
          <w:lang w:val="en-GB"/>
        </w:rPr>
        <w:tab/>
        <w:t xml:space="preserve">A </w:t>
      </w:r>
      <w:r w:rsidR="008C653A" w:rsidRPr="006D30E6">
        <w:rPr>
          <w:rFonts w:eastAsia="Times" w:cstheme="minorHAnsi"/>
          <w:b/>
          <w:sz w:val="24"/>
          <w:szCs w:val="24"/>
          <w:lang w:val="en-GB"/>
        </w:rPr>
        <w:t>PROFESSIONAL CONDUCT COMMITTEE</w:t>
      </w:r>
      <w:r w:rsidRPr="006D30E6">
        <w:rPr>
          <w:rFonts w:eastAsia="Times" w:cstheme="minorHAnsi"/>
          <w:b/>
          <w:sz w:val="24"/>
          <w:szCs w:val="24"/>
          <w:lang w:val="en-GB"/>
        </w:rPr>
        <w:t xml:space="preserve"> </w:t>
      </w:r>
      <w:r w:rsidRPr="006D30E6">
        <w:rPr>
          <w:rFonts w:eastAsia="Times" w:cstheme="minorHAnsi"/>
          <w:sz w:val="24"/>
          <w:szCs w:val="24"/>
          <w:lang w:val="en-GB"/>
        </w:rPr>
        <w:t>appointed under the Act</w:t>
      </w:r>
    </w:p>
    <w:p w14:paraId="5C50E095" w14:textId="77777777" w:rsidR="007C0775" w:rsidRPr="006D30E6" w:rsidRDefault="007C0775" w:rsidP="007C0775">
      <w:pPr>
        <w:tabs>
          <w:tab w:val="left" w:pos="884"/>
          <w:tab w:val="left" w:pos="1418"/>
          <w:tab w:val="left" w:pos="3402"/>
          <w:tab w:val="left" w:pos="4536"/>
        </w:tabs>
        <w:spacing w:line="360" w:lineRule="auto"/>
        <w:rPr>
          <w:rFonts w:eastAsia="Times" w:cstheme="minorHAnsi"/>
          <w:b/>
          <w:vanish/>
          <w:sz w:val="24"/>
          <w:szCs w:val="24"/>
          <w:lang w:val="en-GB"/>
        </w:rPr>
      </w:pPr>
      <w:r w:rsidRPr="006D30E6">
        <w:rPr>
          <w:rFonts w:eastAsia="Times" w:cstheme="minorHAnsi"/>
          <w:b/>
          <w:sz w:val="24"/>
          <w:szCs w:val="24"/>
          <w:lang w:val="en-GB"/>
        </w:rPr>
        <w:tab/>
      </w:r>
      <w:r w:rsidRPr="006D30E6">
        <w:rPr>
          <w:rFonts w:eastAsia="Times" w:cstheme="minorHAnsi"/>
          <w:b/>
          <w:sz w:val="24"/>
          <w:szCs w:val="24"/>
          <w:lang w:val="en-GB"/>
        </w:rPr>
        <w:tab/>
      </w:r>
      <w:r w:rsidRPr="006D30E6">
        <w:rPr>
          <w:rFonts w:eastAsia="Times" w:cstheme="minorHAnsi"/>
          <w:b/>
          <w:sz w:val="24"/>
          <w:szCs w:val="24"/>
          <w:lang w:val="en-GB"/>
        </w:rPr>
        <w:tab/>
      </w:r>
      <w:r w:rsidRPr="006D30E6">
        <w:rPr>
          <w:rFonts w:eastAsia="Times" w:cstheme="minorHAnsi"/>
          <w:b/>
          <w:sz w:val="24"/>
          <w:szCs w:val="24"/>
          <w:lang w:val="en-GB"/>
        </w:rPr>
        <w:tab/>
      </w:r>
      <w:r w:rsidRPr="006D30E6">
        <w:rPr>
          <w:rFonts w:eastAsia="Times" w:cstheme="minorHAnsi"/>
          <w:b/>
          <w:vanish/>
          <w:sz w:val="24"/>
          <w:szCs w:val="24"/>
          <w:lang w:val="en-GB"/>
        </w:rPr>
        <w:t>name of the RA in capital</w:t>
      </w:r>
    </w:p>
    <w:p w14:paraId="25C4A725" w14:textId="77777777" w:rsidR="007C0775" w:rsidRPr="006D30E6" w:rsidRDefault="007C0775" w:rsidP="007C0775">
      <w:pPr>
        <w:tabs>
          <w:tab w:val="left" w:pos="884"/>
          <w:tab w:val="left" w:pos="1418"/>
          <w:tab w:val="left" w:pos="3402"/>
          <w:tab w:val="left" w:pos="4536"/>
        </w:tabs>
        <w:spacing w:line="360" w:lineRule="auto"/>
        <w:jc w:val="both"/>
        <w:rPr>
          <w:rFonts w:eastAsia="Times" w:cstheme="minorHAnsi"/>
          <w:b/>
          <w:sz w:val="24"/>
          <w:szCs w:val="24"/>
          <w:lang w:val="en-GB"/>
        </w:rPr>
      </w:pPr>
      <w:r w:rsidRPr="006D30E6">
        <w:rPr>
          <w:rFonts w:eastAsia="Times" w:cstheme="minorHAnsi"/>
          <w:b/>
          <w:vanish/>
          <w:sz w:val="24"/>
          <w:szCs w:val="24"/>
          <w:lang w:val="en-GB"/>
        </w:rPr>
        <w:tab/>
      </w:r>
      <w:r w:rsidRPr="006D30E6">
        <w:rPr>
          <w:rFonts w:eastAsia="Times" w:cstheme="minorHAnsi"/>
          <w:b/>
          <w:sz w:val="24"/>
          <w:szCs w:val="24"/>
          <w:lang w:val="en-GB"/>
        </w:rPr>
        <w:t>Applicant</w:t>
      </w:r>
    </w:p>
    <w:p w14:paraId="044D0951" w14:textId="58712EE1" w:rsidR="007C0775" w:rsidRPr="006D30E6" w:rsidRDefault="007C0775" w:rsidP="007C0775">
      <w:pPr>
        <w:tabs>
          <w:tab w:val="left" w:pos="884"/>
          <w:tab w:val="left" w:pos="1418"/>
          <w:tab w:val="left" w:pos="2835"/>
          <w:tab w:val="left" w:pos="3402"/>
          <w:tab w:val="left" w:pos="4536"/>
        </w:tabs>
        <w:spacing w:line="360" w:lineRule="auto"/>
        <w:ind w:left="4536" w:hanging="1701"/>
        <w:rPr>
          <w:rFonts w:eastAsia="Times" w:cstheme="minorHAnsi"/>
          <w:sz w:val="24"/>
          <w:szCs w:val="24"/>
          <w:lang w:val="en-GB"/>
        </w:rPr>
      </w:pPr>
      <w:r w:rsidRPr="006D30E6">
        <w:rPr>
          <w:rFonts w:eastAsia="Times" w:cstheme="minorHAnsi"/>
          <w:b/>
          <w:sz w:val="24"/>
          <w:szCs w:val="24"/>
          <w:lang w:val="en-GB"/>
        </w:rPr>
        <w:t>AND</w:t>
      </w:r>
      <w:r w:rsidRPr="006D30E6">
        <w:rPr>
          <w:rFonts w:eastAsia="Times" w:cstheme="minorHAnsi"/>
          <w:b/>
          <w:sz w:val="24"/>
          <w:szCs w:val="24"/>
          <w:lang w:val="en-GB"/>
        </w:rPr>
        <w:tab/>
        <w:t xml:space="preserve"> </w:t>
      </w:r>
      <w:r w:rsidRPr="006D30E6">
        <w:rPr>
          <w:rFonts w:eastAsia="Times" w:cstheme="minorHAnsi"/>
          <w:b/>
          <w:sz w:val="24"/>
          <w:szCs w:val="24"/>
          <w:lang w:val="en-GB"/>
        </w:rPr>
        <w:tab/>
      </w:r>
      <w:r w:rsidR="008C653A" w:rsidRPr="006D30E6">
        <w:rPr>
          <w:rFonts w:eastAsia="Times" w:cstheme="minorHAnsi"/>
          <w:b/>
          <w:sz w:val="24"/>
          <w:szCs w:val="24"/>
          <w:lang w:val="en-GB"/>
        </w:rPr>
        <w:t>BESSIE MIHIROA HANL</w:t>
      </w:r>
      <w:r w:rsidR="00C57E8E" w:rsidRPr="006D30E6">
        <w:rPr>
          <w:rFonts w:eastAsia="Times" w:cstheme="minorHAnsi"/>
          <w:b/>
          <w:sz w:val="24"/>
          <w:szCs w:val="24"/>
          <w:lang w:val="en-GB"/>
        </w:rPr>
        <w:t>E</w:t>
      </w:r>
      <w:r w:rsidR="008C653A" w:rsidRPr="006D30E6">
        <w:rPr>
          <w:rFonts w:eastAsia="Times" w:cstheme="minorHAnsi"/>
          <w:b/>
          <w:sz w:val="24"/>
          <w:szCs w:val="24"/>
          <w:lang w:val="en-GB"/>
        </w:rPr>
        <w:t>Y</w:t>
      </w:r>
      <w:r w:rsidRPr="006D30E6">
        <w:rPr>
          <w:rFonts w:eastAsia="Times" w:cstheme="minorHAnsi"/>
          <w:b/>
          <w:sz w:val="24"/>
          <w:szCs w:val="24"/>
          <w:lang w:val="en-GB"/>
        </w:rPr>
        <w:t xml:space="preserve"> </w:t>
      </w:r>
      <w:r w:rsidRPr="006D30E6">
        <w:rPr>
          <w:rFonts w:eastAsia="Times" w:cstheme="minorHAnsi"/>
          <w:b/>
          <w:vanish/>
          <w:sz w:val="24"/>
          <w:szCs w:val="24"/>
          <w:lang w:val="en-GB"/>
        </w:rPr>
        <w:t>name of the practitioner bold and in capitals</w:t>
      </w:r>
      <w:r w:rsidRPr="006D30E6">
        <w:rPr>
          <w:rFonts w:eastAsia="Times" w:cstheme="minorHAnsi"/>
          <w:vanish/>
          <w:sz w:val="24"/>
          <w:szCs w:val="24"/>
          <w:lang w:val="en-GB"/>
        </w:rPr>
        <w:t xml:space="preserve"> </w:t>
      </w:r>
      <w:r w:rsidRPr="006D30E6">
        <w:rPr>
          <w:rFonts w:eastAsia="Times" w:cstheme="minorHAnsi"/>
          <w:sz w:val="24"/>
          <w:szCs w:val="24"/>
          <w:lang w:val="en-GB"/>
        </w:rPr>
        <w:t xml:space="preserve">of </w:t>
      </w:r>
      <w:r w:rsidR="008C653A" w:rsidRPr="006D30E6">
        <w:rPr>
          <w:rFonts w:eastAsia="Times" w:cstheme="minorHAnsi"/>
          <w:sz w:val="24"/>
          <w:szCs w:val="24"/>
          <w:lang w:val="en-GB"/>
        </w:rPr>
        <w:t>Hastings</w:t>
      </w:r>
      <w:r w:rsidRPr="006D30E6">
        <w:rPr>
          <w:rFonts w:eastAsia="Times" w:cstheme="minorHAnsi"/>
          <w:sz w:val="24"/>
          <w:szCs w:val="24"/>
          <w:lang w:val="en-GB"/>
        </w:rPr>
        <w:t xml:space="preserve"> registered social worker</w:t>
      </w:r>
    </w:p>
    <w:p w14:paraId="1A6B17DC" w14:textId="77777777" w:rsidR="007C0775" w:rsidRPr="006D30E6" w:rsidRDefault="007C0775" w:rsidP="007C0775">
      <w:pPr>
        <w:tabs>
          <w:tab w:val="left" w:pos="884"/>
          <w:tab w:val="left" w:pos="1418"/>
          <w:tab w:val="left" w:pos="3402"/>
          <w:tab w:val="left" w:pos="4536"/>
        </w:tabs>
        <w:spacing w:line="360" w:lineRule="auto"/>
        <w:ind w:left="1701"/>
        <w:rPr>
          <w:rFonts w:eastAsia="Times" w:cstheme="minorHAnsi"/>
          <w:b/>
          <w:sz w:val="24"/>
          <w:szCs w:val="24"/>
          <w:lang w:val="en-GB"/>
        </w:rPr>
      </w:pPr>
      <w:r w:rsidRPr="006D30E6">
        <w:rPr>
          <w:rFonts w:eastAsia="Times" w:cstheme="minorHAnsi"/>
          <w:b/>
          <w:sz w:val="24"/>
          <w:szCs w:val="24"/>
          <w:lang w:val="en-GB"/>
        </w:rPr>
        <w:tab/>
      </w:r>
      <w:r w:rsidRPr="006D30E6">
        <w:rPr>
          <w:rFonts w:eastAsia="Times" w:cstheme="minorHAnsi"/>
          <w:b/>
          <w:sz w:val="24"/>
          <w:szCs w:val="24"/>
          <w:lang w:val="en-GB"/>
        </w:rPr>
        <w:tab/>
        <w:t>Practitioner</w:t>
      </w:r>
    </w:p>
    <w:p w14:paraId="3905AA26" w14:textId="7790771C" w:rsidR="007C0775" w:rsidRPr="006D30E6" w:rsidRDefault="007C0775" w:rsidP="007C0775">
      <w:pPr>
        <w:rPr>
          <w:rFonts w:cstheme="minorHAnsi"/>
          <w:sz w:val="24"/>
          <w:szCs w:val="24"/>
        </w:rPr>
      </w:pPr>
    </w:p>
    <w:p w14:paraId="45C77930" w14:textId="24B9D3E5" w:rsidR="006D555A" w:rsidRPr="006D30E6" w:rsidRDefault="006D30E6" w:rsidP="006D30E6">
      <w:pPr>
        <w:rPr>
          <w:rFonts w:cstheme="minorHAnsi"/>
          <w:b/>
          <w:bCs/>
          <w:sz w:val="24"/>
          <w:szCs w:val="24"/>
        </w:rPr>
      </w:pPr>
      <w:r>
        <w:rPr>
          <w:rFonts w:cstheme="minorHAnsi"/>
          <w:b/>
          <w:bCs/>
          <w:sz w:val="24"/>
          <w:szCs w:val="24"/>
        </w:rPr>
        <w:t xml:space="preserve">HEARING held by audio visual link on Tuesday </w:t>
      </w:r>
      <w:r w:rsidRPr="006D30E6">
        <w:rPr>
          <w:rFonts w:cstheme="minorHAnsi"/>
          <w:b/>
          <w:bCs/>
          <w:sz w:val="24"/>
          <w:szCs w:val="24"/>
        </w:rPr>
        <w:t xml:space="preserve">17 November 2020 </w:t>
      </w:r>
      <w:r w:rsidR="006D555A" w:rsidRPr="006D30E6">
        <w:rPr>
          <w:rFonts w:cstheme="minorHAnsi"/>
          <w:b/>
          <w:bCs/>
          <w:sz w:val="24"/>
          <w:szCs w:val="24"/>
        </w:rPr>
        <w:t xml:space="preserve"> </w:t>
      </w:r>
    </w:p>
    <w:p w14:paraId="11D34920" w14:textId="77777777" w:rsidR="006D30E6" w:rsidRDefault="006D30E6" w:rsidP="006D30E6">
      <w:pPr>
        <w:ind w:left="2160" w:hanging="2160"/>
        <w:rPr>
          <w:rFonts w:cstheme="minorHAnsi"/>
          <w:b/>
          <w:bCs/>
          <w:sz w:val="24"/>
          <w:szCs w:val="24"/>
        </w:rPr>
      </w:pPr>
    </w:p>
    <w:p w14:paraId="108102E7" w14:textId="77CEEB9E" w:rsidR="006D555A" w:rsidRPr="006D30E6" w:rsidRDefault="006D30E6" w:rsidP="006D30E6">
      <w:pPr>
        <w:ind w:left="2160" w:hanging="2160"/>
        <w:rPr>
          <w:rFonts w:cstheme="minorHAnsi"/>
          <w:bCs/>
          <w:sz w:val="24"/>
          <w:szCs w:val="24"/>
        </w:rPr>
      </w:pPr>
      <w:r>
        <w:rPr>
          <w:rFonts w:cstheme="minorHAnsi"/>
          <w:b/>
          <w:bCs/>
          <w:sz w:val="24"/>
          <w:szCs w:val="24"/>
        </w:rPr>
        <w:t>MEMBERS</w:t>
      </w:r>
      <w:r>
        <w:rPr>
          <w:rFonts w:cstheme="minorHAnsi"/>
          <w:b/>
          <w:bCs/>
          <w:sz w:val="24"/>
          <w:szCs w:val="24"/>
        </w:rPr>
        <w:tab/>
      </w:r>
      <w:r w:rsidR="00722674" w:rsidRPr="006D30E6">
        <w:rPr>
          <w:rFonts w:cstheme="minorHAnsi"/>
          <w:bCs/>
          <w:sz w:val="24"/>
          <w:szCs w:val="24"/>
        </w:rPr>
        <w:t xml:space="preserve">Ms </w:t>
      </w:r>
      <w:r w:rsidR="006D555A" w:rsidRPr="006D30E6">
        <w:rPr>
          <w:rFonts w:cstheme="minorHAnsi"/>
          <w:bCs/>
          <w:sz w:val="24"/>
          <w:szCs w:val="24"/>
        </w:rPr>
        <w:t>C Garvey (Chairperson)</w:t>
      </w:r>
      <w:r w:rsidR="003B4B26" w:rsidRPr="006D30E6">
        <w:rPr>
          <w:rFonts w:cstheme="minorHAnsi"/>
          <w:bCs/>
          <w:sz w:val="24"/>
          <w:szCs w:val="24"/>
        </w:rPr>
        <w:t xml:space="preserve">, </w:t>
      </w:r>
      <w:r w:rsidR="00722674" w:rsidRPr="006D30E6">
        <w:rPr>
          <w:rFonts w:cstheme="minorHAnsi"/>
          <w:bCs/>
          <w:sz w:val="24"/>
          <w:szCs w:val="24"/>
        </w:rPr>
        <w:t xml:space="preserve">Ms </w:t>
      </w:r>
      <w:r w:rsidR="008C653A" w:rsidRPr="006D30E6">
        <w:rPr>
          <w:rFonts w:cstheme="minorHAnsi"/>
          <w:bCs/>
          <w:sz w:val="24"/>
          <w:szCs w:val="24"/>
        </w:rPr>
        <w:t xml:space="preserve">A McKenzie, Ms S Hunt, </w:t>
      </w:r>
      <w:r w:rsidR="00722674" w:rsidRPr="006D30E6">
        <w:rPr>
          <w:rFonts w:cstheme="minorHAnsi"/>
          <w:bCs/>
          <w:sz w:val="24"/>
          <w:szCs w:val="24"/>
        </w:rPr>
        <w:t xml:space="preserve">Mr </w:t>
      </w:r>
      <w:r w:rsidR="006D555A" w:rsidRPr="006D30E6">
        <w:rPr>
          <w:rFonts w:cstheme="minorHAnsi"/>
          <w:bCs/>
          <w:sz w:val="24"/>
          <w:szCs w:val="24"/>
        </w:rPr>
        <w:t>P</w:t>
      </w:r>
      <w:r w:rsidRPr="006D30E6">
        <w:rPr>
          <w:rFonts w:cstheme="minorHAnsi"/>
          <w:bCs/>
          <w:sz w:val="24"/>
          <w:szCs w:val="24"/>
        </w:rPr>
        <w:t xml:space="preserve"> </w:t>
      </w:r>
      <w:r w:rsidR="006D555A" w:rsidRPr="006D30E6">
        <w:rPr>
          <w:rFonts w:cstheme="minorHAnsi"/>
          <w:bCs/>
          <w:sz w:val="24"/>
          <w:szCs w:val="24"/>
        </w:rPr>
        <w:t xml:space="preserve">McGurk, </w:t>
      </w:r>
      <w:r w:rsidR="00722674" w:rsidRPr="006D30E6">
        <w:rPr>
          <w:rFonts w:cstheme="minorHAnsi"/>
          <w:bCs/>
          <w:sz w:val="24"/>
          <w:szCs w:val="24"/>
        </w:rPr>
        <w:t xml:space="preserve">Mr </w:t>
      </w:r>
      <w:r w:rsidR="006D555A" w:rsidRPr="006D30E6">
        <w:rPr>
          <w:rFonts w:cstheme="minorHAnsi"/>
          <w:bCs/>
          <w:sz w:val="24"/>
          <w:szCs w:val="24"/>
        </w:rPr>
        <w:t>B</w:t>
      </w:r>
      <w:r w:rsidR="003B4B26" w:rsidRPr="006D30E6">
        <w:rPr>
          <w:rFonts w:cstheme="minorHAnsi"/>
          <w:bCs/>
          <w:sz w:val="24"/>
          <w:szCs w:val="24"/>
        </w:rPr>
        <w:t xml:space="preserve"> </w:t>
      </w:r>
      <w:r w:rsidR="006D555A" w:rsidRPr="006D30E6">
        <w:rPr>
          <w:rFonts w:cstheme="minorHAnsi"/>
          <w:bCs/>
          <w:sz w:val="24"/>
          <w:szCs w:val="24"/>
        </w:rPr>
        <w:t xml:space="preserve">Marra (Members) </w:t>
      </w:r>
    </w:p>
    <w:p w14:paraId="33EBA9CB" w14:textId="53B48137" w:rsidR="006D555A" w:rsidRPr="006D30E6" w:rsidRDefault="00722674" w:rsidP="006D30E6">
      <w:pPr>
        <w:ind w:left="1440" w:firstLine="720"/>
        <w:rPr>
          <w:rFonts w:cstheme="minorHAnsi"/>
          <w:bCs/>
          <w:sz w:val="24"/>
          <w:szCs w:val="24"/>
        </w:rPr>
      </w:pPr>
      <w:r w:rsidRPr="006D30E6">
        <w:rPr>
          <w:rFonts w:cstheme="minorHAnsi"/>
          <w:bCs/>
          <w:sz w:val="24"/>
          <w:szCs w:val="24"/>
        </w:rPr>
        <w:t xml:space="preserve">Ms </w:t>
      </w:r>
      <w:r w:rsidR="003B4B26" w:rsidRPr="006D30E6">
        <w:rPr>
          <w:rFonts w:cstheme="minorHAnsi"/>
          <w:bCs/>
          <w:sz w:val="24"/>
          <w:szCs w:val="24"/>
        </w:rPr>
        <w:t>G Fraser (Executive Officer)</w:t>
      </w:r>
      <w:r w:rsidR="006D555A" w:rsidRPr="006D30E6">
        <w:rPr>
          <w:rFonts w:cstheme="minorHAnsi"/>
          <w:bCs/>
          <w:sz w:val="24"/>
          <w:szCs w:val="24"/>
        </w:rPr>
        <w:t xml:space="preserve"> </w:t>
      </w:r>
    </w:p>
    <w:p w14:paraId="72DDAC15" w14:textId="77777777" w:rsidR="006D555A" w:rsidRPr="006D30E6" w:rsidRDefault="006D555A" w:rsidP="006D555A">
      <w:pPr>
        <w:jc w:val="center"/>
        <w:rPr>
          <w:rFonts w:cstheme="minorHAnsi"/>
          <w:bCs/>
          <w:sz w:val="24"/>
          <w:szCs w:val="24"/>
        </w:rPr>
      </w:pPr>
      <w:r w:rsidRPr="006D30E6">
        <w:rPr>
          <w:rFonts w:cstheme="minorHAnsi"/>
          <w:bCs/>
          <w:sz w:val="24"/>
          <w:szCs w:val="24"/>
        </w:rPr>
        <w:t xml:space="preserve"> </w:t>
      </w:r>
    </w:p>
    <w:p w14:paraId="2EA72310" w14:textId="488F6270" w:rsidR="003B4B26" w:rsidRDefault="006D30E6" w:rsidP="006D30E6">
      <w:pPr>
        <w:rPr>
          <w:rFonts w:cstheme="minorHAnsi"/>
          <w:bCs/>
          <w:sz w:val="24"/>
          <w:szCs w:val="24"/>
        </w:rPr>
      </w:pPr>
      <w:r w:rsidRPr="006D30E6">
        <w:rPr>
          <w:rFonts w:cstheme="minorHAnsi"/>
          <w:b/>
          <w:bCs/>
          <w:sz w:val="24"/>
          <w:szCs w:val="24"/>
        </w:rPr>
        <w:t>APPEARANCES</w:t>
      </w:r>
      <w:r w:rsidRPr="006D30E6">
        <w:rPr>
          <w:rFonts w:cstheme="minorHAnsi"/>
          <w:b/>
          <w:bCs/>
          <w:sz w:val="24"/>
          <w:szCs w:val="24"/>
        </w:rPr>
        <w:tab/>
      </w:r>
      <w:r w:rsidR="008C653A" w:rsidRPr="006D30E6">
        <w:rPr>
          <w:rFonts w:cstheme="minorHAnsi"/>
          <w:bCs/>
          <w:sz w:val="24"/>
          <w:szCs w:val="24"/>
        </w:rPr>
        <w:t>Mr M</w:t>
      </w:r>
      <w:r w:rsidRPr="006D30E6">
        <w:rPr>
          <w:rFonts w:cstheme="minorHAnsi"/>
          <w:bCs/>
          <w:sz w:val="24"/>
          <w:szCs w:val="24"/>
        </w:rPr>
        <w:t xml:space="preserve"> </w:t>
      </w:r>
      <w:r w:rsidR="008C653A" w:rsidRPr="006D30E6">
        <w:rPr>
          <w:rFonts w:cstheme="minorHAnsi"/>
          <w:bCs/>
          <w:sz w:val="24"/>
          <w:szCs w:val="24"/>
        </w:rPr>
        <w:t>Regan</w:t>
      </w:r>
      <w:r w:rsidR="006D555A" w:rsidRPr="006D30E6">
        <w:rPr>
          <w:rFonts w:cstheme="minorHAnsi"/>
          <w:bCs/>
          <w:sz w:val="24"/>
          <w:szCs w:val="24"/>
        </w:rPr>
        <w:t xml:space="preserve"> (Counsel for the </w:t>
      </w:r>
      <w:r w:rsidR="003B4B26" w:rsidRPr="006D30E6">
        <w:rPr>
          <w:rFonts w:cstheme="minorHAnsi"/>
          <w:bCs/>
          <w:sz w:val="24"/>
          <w:szCs w:val="24"/>
        </w:rPr>
        <w:t>Professional Conduct</w:t>
      </w:r>
      <w:r w:rsidR="006D555A" w:rsidRPr="006D30E6">
        <w:rPr>
          <w:rFonts w:cstheme="minorHAnsi"/>
          <w:bCs/>
          <w:sz w:val="24"/>
          <w:szCs w:val="24"/>
        </w:rPr>
        <w:t xml:space="preserve"> Committee)  </w:t>
      </w:r>
    </w:p>
    <w:p w14:paraId="3FC0515B" w14:textId="4CE8961A" w:rsidR="006D30E6" w:rsidRDefault="006D30E6" w:rsidP="006D30E6">
      <w:pPr>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t>No appearance for or by the practitioner</w:t>
      </w:r>
    </w:p>
    <w:p w14:paraId="2D6DCABA" w14:textId="77777777" w:rsidR="006D30E6" w:rsidRDefault="006D30E6" w:rsidP="006D30E6">
      <w:pPr>
        <w:rPr>
          <w:rFonts w:cstheme="minorHAnsi"/>
          <w:bCs/>
          <w:sz w:val="24"/>
          <w:szCs w:val="24"/>
        </w:rPr>
      </w:pPr>
    </w:p>
    <w:p w14:paraId="14200172" w14:textId="77777777" w:rsidR="00980624" w:rsidRDefault="00980624" w:rsidP="006D30E6">
      <w:pPr>
        <w:rPr>
          <w:rFonts w:cstheme="minorHAnsi"/>
          <w:bCs/>
          <w:sz w:val="24"/>
          <w:szCs w:val="24"/>
        </w:rPr>
        <w:sectPr w:rsidR="00980624">
          <w:headerReference w:type="default" r:id="rId8"/>
          <w:footerReference w:type="default" r:id="rId9"/>
          <w:pgSz w:w="11906" w:h="16838"/>
          <w:pgMar w:top="1440" w:right="1440" w:bottom="1440" w:left="1440" w:header="708" w:footer="708" w:gutter="0"/>
          <w:cols w:space="708"/>
          <w:docGrid w:linePitch="360"/>
        </w:sectPr>
      </w:pPr>
    </w:p>
    <w:p w14:paraId="0C091A78" w14:textId="77F3B390" w:rsidR="00B32D9F" w:rsidRPr="006D30E6" w:rsidRDefault="007D6CF6" w:rsidP="00D9076C">
      <w:pPr>
        <w:rPr>
          <w:rFonts w:cstheme="minorHAnsi"/>
          <w:b/>
          <w:bCs/>
          <w:sz w:val="24"/>
          <w:szCs w:val="24"/>
          <w:lang w:val="mi-NZ"/>
        </w:rPr>
      </w:pPr>
      <w:r w:rsidRPr="006D30E6">
        <w:rPr>
          <w:rFonts w:cstheme="minorHAnsi"/>
          <w:b/>
          <w:bCs/>
          <w:sz w:val="24"/>
          <w:szCs w:val="24"/>
          <w:lang w:val="mi-NZ"/>
        </w:rPr>
        <w:lastRenderedPageBreak/>
        <w:t>Intro</w:t>
      </w:r>
      <w:r w:rsidR="009863B6" w:rsidRPr="006D30E6">
        <w:rPr>
          <w:rFonts w:cstheme="minorHAnsi"/>
          <w:b/>
          <w:bCs/>
          <w:sz w:val="24"/>
          <w:szCs w:val="24"/>
          <w:lang w:val="mi-NZ"/>
        </w:rPr>
        <w:t>duction</w:t>
      </w:r>
    </w:p>
    <w:p w14:paraId="42A50ED7" w14:textId="76C006DC" w:rsidR="00ED400D" w:rsidRPr="006D30E6" w:rsidRDefault="008C653A" w:rsidP="00980624">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 xml:space="preserve">Ms Hanley is a registered social worker with 15 years experience. </w:t>
      </w:r>
      <w:r w:rsidR="009D137F" w:rsidRPr="006D30E6">
        <w:rPr>
          <w:rFonts w:cstheme="minorHAnsi"/>
          <w:sz w:val="24"/>
          <w:szCs w:val="24"/>
          <w:lang w:val="mi-NZ"/>
        </w:rPr>
        <w:t xml:space="preserve">On 22 March 2019 </w:t>
      </w:r>
      <w:r w:rsidRPr="006D30E6">
        <w:rPr>
          <w:rFonts w:cstheme="minorHAnsi"/>
          <w:sz w:val="24"/>
          <w:szCs w:val="24"/>
          <w:lang w:val="mi-NZ"/>
        </w:rPr>
        <w:t>she was convicted of a charge of indecent assault pursuant to s135 of the Crimes Act 1961. The conviction was confirmed on appeal</w:t>
      </w:r>
      <w:r w:rsidR="009D137F" w:rsidRPr="006D30E6">
        <w:rPr>
          <w:rFonts w:cstheme="minorHAnsi"/>
          <w:sz w:val="24"/>
          <w:szCs w:val="24"/>
          <w:lang w:val="mi-NZ"/>
        </w:rPr>
        <w:t xml:space="preserve"> on 2 July 2019.</w:t>
      </w:r>
    </w:p>
    <w:p w14:paraId="0409A6FA" w14:textId="77777777" w:rsidR="00ED400D" w:rsidRPr="006D30E6" w:rsidRDefault="00ED400D" w:rsidP="00980624">
      <w:pPr>
        <w:pStyle w:val="ListParagraph"/>
        <w:ind w:left="567" w:hanging="567"/>
        <w:jc w:val="both"/>
        <w:rPr>
          <w:rFonts w:cstheme="minorHAnsi"/>
          <w:sz w:val="24"/>
          <w:szCs w:val="24"/>
          <w:lang w:val="mi-NZ"/>
        </w:rPr>
      </w:pPr>
    </w:p>
    <w:p w14:paraId="54491DC6" w14:textId="18E45568" w:rsidR="007D6CF6" w:rsidRPr="006D30E6" w:rsidRDefault="009D137F" w:rsidP="00980624">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Pursuant to s 63 of the Social Workers Registration Act 2003 (the Act), n</w:t>
      </w:r>
      <w:r w:rsidR="008C653A" w:rsidRPr="006D30E6">
        <w:rPr>
          <w:rFonts w:cstheme="minorHAnsi"/>
          <w:sz w:val="24"/>
          <w:szCs w:val="24"/>
          <w:lang w:val="mi-NZ"/>
        </w:rPr>
        <w:t xml:space="preserve">otice of Ms Hanley’s conviction was given by the </w:t>
      </w:r>
      <w:r w:rsidRPr="006D30E6">
        <w:rPr>
          <w:rFonts w:cstheme="minorHAnsi"/>
          <w:sz w:val="24"/>
          <w:szCs w:val="24"/>
          <w:lang w:val="mi-NZ"/>
        </w:rPr>
        <w:t>c</w:t>
      </w:r>
      <w:r w:rsidR="008C653A" w:rsidRPr="006D30E6">
        <w:rPr>
          <w:rFonts w:cstheme="minorHAnsi"/>
          <w:sz w:val="24"/>
          <w:szCs w:val="24"/>
          <w:lang w:val="mi-NZ"/>
        </w:rPr>
        <w:t xml:space="preserve">ourt </w:t>
      </w:r>
      <w:r w:rsidRPr="006D30E6">
        <w:rPr>
          <w:rFonts w:cstheme="minorHAnsi"/>
          <w:sz w:val="24"/>
          <w:szCs w:val="24"/>
          <w:lang w:val="mi-NZ"/>
        </w:rPr>
        <w:t>R</w:t>
      </w:r>
      <w:r w:rsidR="008C653A" w:rsidRPr="006D30E6">
        <w:rPr>
          <w:rFonts w:cstheme="minorHAnsi"/>
          <w:sz w:val="24"/>
          <w:szCs w:val="24"/>
          <w:lang w:val="mi-NZ"/>
        </w:rPr>
        <w:t xml:space="preserve">egistrar to the Social Workers Registration Board (the Board) on </w:t>
      </w:r>
      <w:r w:rsidRPr="006D30E6">
        <w:rPr>
          <w:rFonts w:cstheme="minorHAnsi"/>
          <w:sz w:val="24"/>
          <w:szCs w:val="24"/>
          <w:lang w:val="mi-NZ"/>
        </w:rPr>
        <w:t>29 April 2019</w:t>
      </w:r>
      <w:r w:rsidR="008C653A" w:rsidRPr="006D30E6">
        <w:rPr>
          <w:rFonts w:cstheme="minorHAnsi"/>
          <w:sz w:val="24"/>
          <w:szCs w:val="24"/>
          <w:lang w:val="mi-NZ"/>
        </w:rPr>
        <w:t xml:space="preserve">. </w:t>
      </w:r>
      <w:r w:rsidRPr="006D30E6">
        <w:rPr>
          <w:rFonts w:cstheme="minorHAnsi"/>
          <w:sz w:val="24"/>
          <w:szCs w:val="24"/>
          <w:lang w:val="mi-NZ"/>
        </w:rPr>
        <w:t>As</w:t>
      </w:r>
      <w:r w:rsidR="008C653A" w:rsidRPr="006D30E6">
        <w:rPr>
          <w:rFonts w:cstheme="minorHAnsi"/>
          <w:sz w:val="24"/>
          <w:szCs w:val="24"/>
          <w:lang w:val="mi-NZ"/>
        </w:rPr>
        <w:t xml:space="preserve"> required by s </w:t>
      </w:r>
      <w:r w:rsidRPr="006D30E6">
        <w:rPr>
          <w:rFonts w:cstheme="minorHAnsi"/>
          <w:sz w:val="24"/>
          <w:szCs w:val="24"/>
          <w:lang w:val="mi-NZ"/>
        </w:rPr>
        <w:t>65</w:t>
      </w:r>
      <w:r w:rsidR="008C653A" w:rsidRPr="006D30E6">
        <w:rPr>
          <w:rFonts w:cstheme="minorHAnsi"/>
          <w:sz w:val="24"/>
          <w:szCs w:val="24"/>
          <w:lang w:val="mi-NZ"/>
        </w:rPr>
        <w:t xml:space="preserve"> of the Act</w:t>
      </w:r>
      <w:r w:rsidR="00D06ABB" w:rsidRPr="006D30E6">
        <w:rPr>
          <w:rFonts w:cstheme="minorHAnsi"/>
          <w:sz w:val="24"/>
          <w:szCs w:val="24"/>
          <w:lang w:val="mi-NZ"/>
        </w:rPr>
        <w:t xml:space="preserve">, </w:t>
      </w:r>
      <w:r w:rsidRPr="006D30E6">
        <w:rPr>
          <w:rFonts w:cstheme="minorHAnsi"/>
          <w:sz w:val="24"/>
          <w:szCs w:val="24"/>
          <w:lang w:val="mi-NZ"/>
        </w:rPr>
        <w:t xml:space="preserve">the Board </w:t>
      </w:r>
      <w:r w:rsidR="00D06ABB" w:rsidRPr="006D30E6">
        <w:rPr>
          <w:rFonts w:cstheme="minorHAnsi"/>
          <w:sz w:val="24"/>
          <w:szCs w:val="24"/>
          <w:lang w:val="mi-NZ"/>
        </w:rPr>
        <w:t>referred Ms Hanley to a Professional Conduct Committee (PCC)</w:t>
      </w:r>
      <w:r w:rsidR="009E2BA2" w:rsidRPr="006D30E6">
        <w:rPr>
          <w:rFonts w:cstheme="minorHAnsi"/>
          <w:sz w:val="24"/>
          <w:szCs w:val="24"/>
          <w:lang w:val="mi-NZ"/>
        </w:rPr>
        <w:t>.</w:t>
      </w:r>
      <w:r w:rsidR="00D06ABB" w:rsidRPr="006D30E6">
        <w:rPr>
          <w:rFonts w:cstheme="minorHAnsi"/>
          <w:sz w:val="24"/>
          <w:szCs w:val="24"/>
          <w:lang w:val="mi-NZ"/>
        </w:rPr>
        <w:t xml:space="preserve"> Following an investigation with wh</w:t>
      </w:r>
      <w:r w:rsidRPr="006D30E6">
        <w:rPr>
          <w:rFonts w:cstheme="minorHAnsi"/>
          <w:sz w:val="24"/>
          <w:szCs w:val="24"/>
          <w:lang w:val="mi-NZ"/>
        </w:rPr>
        <w:t>ich</w:t>
      </w:r>
      <w:r w:rsidR="00D06ABB" w:rsidRPr="006D30E6">
        <w:rPr>
          <w:rFonts w:cstheme="minorHAnsi"/>
          <w:sz w:val="24"/>
          <w:szCs w:val="24"/>
          <w:lang w:val="mi-NZ"/>
        </w:rPr>
        <w:t xml:space="preserve"> Ms Hanley provided her full co-operation, the PCC laid a disciplinary charge</w:t>
      </w:r>
      <w:r w:rsidR="009F5E79" w:rsidRPr="006D30E6">
        <w:rPr>
          <w:rFonts w:cstheme="minorHAnsi"/>
          <w:sz w:val="24"/>
          <w:szCs w:val="24"/>
          <w:lang w:val="mi-NZ"/>
        </w:rPr>
        <w:t>,</w:t>
      </w:r>
      <w:r w:rsidRPr="006D30E6">
        <w:rPr>
          <w:rFonts w:cstheme="minorHAnsi"/>
          <w:sz w:val="24"/>
          <w:szCs w:val="24"/>
          <w:lang w:val="mi-NZ"/>
        </w:rPr>
        <w:t xml:space="preserve"> and notice of the intention to bring disciplinary proceedings was issued on 26 August 2020</w:t>
      </w:r>
      <w:r w:rsidR="00D06ABB" w:rsidRPr="006D30E6">
        <w:rPr>
          <w:rFonts w:cstheme="minorHAnsi"/>
          <w:sz w:val="24"/>
          <w:szCs w:val="24"/>
          <w:lang w:val="mi-NZ"/>
        </w:rPr>
        <w:t>. The charge reads:</w:t>
      </w:r>
    </w:p>
    <w:p w14:paraId="6B82E3FA" w14:textId="77777777" w:rsidR="00D06ABB" w:rsidRPr="006D30E6" w:rsidRDefault="00D06ABB" w:rsidP="00980624">
      <w:pPr>
        <w:pStyle w:val="ListParagraph"/>
        <w:ind w:left="567" w:hanging="567"/>
        <w:rPr>
          <w:rFonts w:cstheme="minorHAnsi"/>
          <w:sz w:val="24"/>
          <w:szCs w:val="24"/>
          <w:lang w:val="mi-NZ"/>
        </w:rPr>
      </w:pPr>
    </w:p>
    <w:p w14:paraId="1C5E5F83" w14:textId="3BE48CEE" w:rsidR="00D06ABB" w:rsidRPr="006D30E6" w:rsidRDefault="00D06ABB" w:rsidP="006D30E6">
      <w:pPr>
        <w:pStyle w:val="ListParagraph"/>
        <w:ind w:left="1134"/>
        <w:jc w:val="both"/>
        <w:rPr>
          <w:rFonts w:cstheme="minorHAnsi"/>
          <w:sz w:val="24"/>
          <w:szCs w:val="24"/>
          <w:lang w:val="mi-NZ"/>
        </w:rPr>
      </w:pPr>
      <w:r w:rsidRPr="006D30E6">
        <w:rPr>
          <w:rFonts w:cstheme="minorHAnsi"/>
          <w:sz w:val="24"/>
          <w:szCs w:val="24"/>
          <w:lang w:val="mi-NZ"/>
        </w:rPr>
        <w:t>“Pursuant to section 72(3) of the Act, the Committee has made a determination to submit Ms Hanley’s conviction to the Tribunal on grounds that:</w:t>
      </w:r>
    </w:p>
    <w:p w14:paraId="49FF64CC" w14:textId="65CAB3E2" w:rsidR="00D06ABB" w:rsidRPr="006D30E6" w:rsidRDefault="00D06ABB" w:rsidP="00D06ABB">
      <w:pPr>
        <w:pStyle w:val="ListParagraph"/>
        <w:jc w:val="both"/>
        <w:rPr>
          <w:rFonts w:cstheme="minorHAnsi"/>
          <w:sz w:val="24"/>
          <w:szCs w:val="24"/>
          <w:lang w:val="mi-NZ"/>
        </w:rPr>
      </w:pPr>
    </w:p>
    <w:p w14:paraId="2C63D3C6" w14:textId="182DF1DE" w:rsidR="00D06ABB" w:rsidRPr="006D30E6" w:rsidRDefault="00C57E8E" w:rsidP="00980624">
      <w:pPr>
        <w:pStyle w:val="ListParagraph"/>
        <w:numPr>
          <w:ilvl w:val="0"/>
          <w:numId w:val="3"/>
        </w:numPr>
        <w:ind w:left="1701" w:hanging="621"/>
        <w:jc w:val="both"/>
        <w:rPr>
          <w:rFonts w:cstheme="minorHAnsi"/>
          <w:sz w:val="24"/>
          <w:szCs w:val="24"/>
          <w:lang w:val="mi-NZ"/>
        </w:rPr>
      </w:pPr>
      <w:r w:rsidRPr="006D30E6">
        <w:rPr>
          <w:rFonts w:cstheme="minorHAnsi"/>
          <w:sz w:val="24"/>
          <w:szCs w:val="24"/>
          <w:lang w:val="mi-NZ"/>
        </w:rPr>
        <w:t>s</w:t>
      </w:r>
      <w:r w:rsidR="00D06ABB" w:rsidRPr="006D30E6">
        <w:rPr>
          <w:rFonts w:cstheme="minorHAnsi"/>
          <w:sz w:val="24"/>
          <w:szCs w:val="24"/>
          <w:lang w:val="mi-NZ"/>
        </w:rPr>
        <w:t>he was convicted by a court in New Zealand of an offence punishable by imprisonment for a term of 3 months or longer (s 82(1)(c)(i) of the Act); and</w:t>
      </w:r>
    </w:p>
    <w:p w14:paraId="573046D3" w14:textId="35A493F6" w:rsidR="00D06ABB" w:rsidRPr="006D30E6" w:rsidRDefault="00C57E8E" w:rsidP="00980624">
      <w:pPr>
        <w:pStyle w:val="ListParagraph"/>
        <w:numPr>
          <w:ilvl w:val="0"/>
          <w:numId w:val="3"/>
        </w:numPr>
        <w:ind w:left="1701" w:hanging="567"/>
        <w:jc w:val="both"/>
        <w:rPr>
          <w:rFonts w:cstheme="minorHAnsi"/>
          <w:sz w:val="24"/>
          <w:szCs w:val="24"/>
          <w:lang w:val="mi-NZ"/>
        </w:rPr>
      </w:pPr>
      <w:r w:rsidRPr="006D30E6">
        <w:rPr>
          <w:rFonts w:cstheme="minorHAnsi"/>
          <w:sz w:val="24"/>
          <w:szCs w:val="24"/>
          <w:lang w:val="mi-NZ"/>
        </w:rPr>
        <w:t>t</w:t>
      </w:r>
      <w:r w:rsidR="00D06ABB" w:rsidRPr="006D30E6">
        <w:rPr>
          <w:rFonts w:cstheme="minorHAnsi"/>
          <w:sz w:val="24"/>
          <w:szCs w:val="24"/>
          <w:lang w:val="mi-NZ"/>
        </w:rPr>
        <w:t>he offence was committed in circumstances that reflect adversely on her fitness to practise as a social worker (s 82(1)(c)(ii) of the Act ).</w:t>
      </w:r>
    </w:p>
    <w:p w14:paraId="736FB689" w14:textId="6C1D35D0" w:rsidR="00D06ABB" w:rsidRPr="006D30E6" w:rsidRDefault="00D06ABB" w:rsidP="00980624">
      <w:pPr>
        <w:ind w:left="1701" w:hanging="567"/>
        <w:jc w:val="both"/>
        <w:rPr>
          <w:rFonts w:cstheme="minorHAnsi"/>
          <w:sz w:val="24"/>
          <w:szCs w:val="24"/>
          <w:lang w:val="mi-NZ"/>
        </w:rPr>
      </w:pPr>
      <w:r w:rsidRPr="006D30E6">
        <w:rPr>
          <w:rFonts w:cstheme="minorHAnsi"/>
          <w:sz w:val="24"/>
          <w:szCs w:val="24"/>
          <w:lang w:val="mi-NZ"/>
        </w:rPr>
        <w:t>In particular:</w:t>
      </w:r>
    </w:p>
    <w:p w14:paraId="37A65517" w14:textId="6975C752" w:rsidR="00D06ABB" w:rsidRPr="006D30E6" w:rsidRDefault="00D06ABB" w:rsidP="00980624">
      <w:pPr>
        <w:pStyle w:val="ListParagraph"/>
        <w:numPr>
          <w:ilvl w:val="0"/>
          <w:numId w:val="4"/>
        </w:numPr>
        <w:ind w:left="1701" w:hanging="567"/>
        <w:jc w:val="both"/>
        <w:rPr>
          <w:rFonts w:cstheme="minorHAnsi"/>
          <w:sz w:val="24"/>
          <w:szCs w:val="24"/>
          <w:lang w:val="mi-NZ"/>
        </w:rPr>
      </w:pPr>
      <w:r w:rsidRPr="006D30E6">
        <w:rPr>
          <w:rFonts w:cstheme="minorHAnsi"/>
          <w:sz w:val="24"/>
          <w:szCs w:val="24"/>
          <w:lang w:val="mi-NZ"/>
        </w:rPr>
        <w:t>Ms Hanley was convicted on 22 March 2019 in the Hastings District Court of a charge of indecent assault contrary to s 135 of the Crimes Act 1961, which carries a maximum penalty of 7 years’ imprisonment.</w:t>
      </w:r>
    </w:p>
    <w:p w14:paraId="3B6C3CB9" w14:textId="3ADB5644" w:rsidR="00D06ABB" w:rsidRPr="006D30E6" w:rsidRDefault="00D06ABB" w:rsidP="00980624">
      <w:pPr>
        <w:pStyle w:val="ListParagraph"/>
        <w:numPr>
          <w:ilvl w:val="0"/>
          <w:numId w:val="4"/>
        </w:numPr>
        <w:ind w:left="1701" w:hanging="567"/>
        <w:jc w:val="both"/>
        <w:rPr>
          <w:rFonts w:cstheme="minorHAnsi"/>
          <w:sz w:val="24"/>
          <w:szCs w:val="24"/>
          <w:lang w:val="mi-NZ"/>
        </w:rPr>
      </w:pPr>
      <w:r w:rsidRPr="006D30E6">
        <w:rPr>
          <w:rFonts w:cstheme="minorHAnsi"/>
          <w:sz w:val="24"/>
          <w:szCs w:val="24"/>
          <w:lang w:val="mi-NZ"/>
        </w:rPr>
        <w:t>the nature and extent of Ms Hanley’s conduct, as set out above, reflects adversely on her fitness to practise as a social worker and/or breached Principles 1 and/or 9</w:t>
      </w:r>
      <w:r w:rsidR="002A48B8" w:rsidRPr="006D30E6">
        <w:rPr>
          <w:rFonts w:cstheme="minorHAnsi"/>
          <w:sz w:val="24"/>
          <w:szCs w:val="24"/>
          <w:lang w:val="mi-NZ"/>
        </w:rPr>
        <w:t xml:space="preserve"> of the Code of Conduct issued by the Social Workers Registration Board pursuant to section 105 of the Act.”</w:t>
      </w:r>
    </w:p>
    <w:p w14:paraId="10959F51" w14:textId="77777777" w:rsidR="00ED400D" w:rsidRPr="006D30E6" w:rsidRDefault="00ED400D" w:rsidP="00B91164">
      <w:pPr>
        <w:pStyle w:val="ListParagraph"/>
        <w:jc w:val="both"/>
        <w:rPr>
          <w:rFonts w:cstheme="minorHAnsi"/>
          <w:sz w:val="24"/>
          <w:szCs w:val="24"/>
          <w:lang w:val="mi-NZ"/>
        </w:rPr>
      </w:pPr>
    </w:p>
    <w:p w14:paraId="26292808" w14:textId="05CD14B2" w:rsidR="009863B6" w:rsidRPr="006D30E6" w:rsidRDefault="00D06ABB" w:rsidP="00980624">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 xml:space="preserve">The </w:t>
      </w:r>
      <w:r w:rsidR="00354965" w:rsidRPr="006D30E6">
        <w:rPr>
          <w:rFonts w:cstheme="minorHAnsi"/>
          <w:sz w:val="24"/>
          <w:szCs w:val="24"/>
          <w:lang w:val="mi-NZ"/>
        </w:rPr>
        <w:t>hearing was conducted</w:t>
      </w:r>
      <w:r w:rsidRPr="006D30E6">
        <w:rPr>
          <w:rFonts w:cstheme="minorHAnsi"/>
          <w:sz w:val="24"/>
          <w:szCs w:val="24"/>
          <w:lang w:val="mi-NZ"/>
        </w:rPr>
        <w:t xml:space="preserve"> by Audio Visual Link </w:t>
      </w:r>
      <w:r w:rsidR="009D137F" w:rsidRPr="006D30E6">
        <w:rPr>
          <w:rFonts w:cstheme="minorHAnsi"/>
          <w:sz w:val="24"/>
          <w:szCs w:val="24"/>
          <w:lang w:val="mi-NZ"/>
        </w:rPr>
        <w:t xml:space="preserve">(AVL) </w:t>
      </w:r>
      <w:r w:rsidRPr="006D30E6">
        <w:rPr>
          <w:rFonts w:cstheme="minorHAnsi"/>
          <w:sz w:val="24"/>
          <w:szCs w:val="24"/>
          <w:lang w:val="mi-NZ"/>
        </w:rPr>
        <w:t>on 17 November 2020</w:t>
      </w:r>
      <w:r w:rsidR="00354965" w:rsidRPr="006D30E6">
        <w:rPr>
          <w:rFonts w:cstheme="minorHAnsi"/>
          <w:sz w:val="24"/>
          <w:szCs w:val="24"/>
          <w:lang w:val="mi-NZ"/>
        </w:rPr>
        <w:t xml:space="preserve">, and </w:t>
      </w:r>
      <w:r w:rsidRPr="006D30E6">
        <w:rPr>
          <w:rFonts w:cstheme="minorHAnsi"/>
          <w:sz w:val="24"/>
          <w:szCs w:val="24"/>
          <w:lang w:val="mi-NZ"/>
        </w:rPr>
        <w:t>proceeded by way of an Agreed Summary of Facts signed by Ms Hanley and Mr Regan, counsel for the PCC. The Agreed Bundle of Documents included the District Court judgment</w:t>
      </w:r>
      <w:r w:rsidR="00354965" w:rsidRPr="006D30E6">
        <w:rPr>
          <w:rFonts w:cstheme="minorHAnsi"/>
          <w:sz w:val="24"/>
          <w:szCs w:val="24"/>
          <w:lang w:val="mi-NZ"/>
        </w:rPr>
        <w:t xml:space="preserve"> on Ms Hanley’s conviction</w:t>
      </w:r>
      <w:r w:rsidRPr="006D30E6">
        <w:rPr>
          <w:rFonts w:cstheme="minorHAnsi"/>
          <w:sz w:val="24"/>
          <w:szCs w:val="24"/>
          <w:lang w:val="mi-NZ"/>
        </w:rPr>
        <w:t>,</w:t>
      </w:r>
      <w:r w:rsidR="00354965" w:rsidRPr="006D30E6">
        <w:rPr>
          <w:rFonts w:cstheme="minorHAnsi"/>
          <w:sz w:val="24"/>
          <w:szCs w:val="24"/>
          <w:lang w:val="mi-NZ"/>
        </w:rPr>
        <w:t xml:space="preserve"> the</w:t>
      </w:r>
      <w:r w:rsidRPr="006D30E6">
        <w:rPr>
          <w:rFonts w:cstheme="minorHAnsi"/>
          <w:sz w:val="24"/>
          <w:szCs w:val="24"/>
          <w:lang w:val="mi-NZ"/>
        </w:rPr>
        <w:t xml:space="preserve"> High Court judgment</w:t>
      </w:r>
      <w:r w:rsidR="00354965" w:rsidRPr="006D30E6">
        <w:rPr>
          <w:rFonts w:cstheme="minorHAnsi"/>
          <w:sz w:val="24"/>
          <w:szCs w:val="24"/>
          <w:lang w:val="mi-NZ"/>
        </w:rPr>
        <w:t xml:space="preserve"> on Ms Hanley’s appeal against conviction and sentence</w:t>
      </w:r>
      <w:r w:rsidRPr="006D30E6">
        <w:rPr>
          <w:rFonts w:cstheme="minorHAnsi"/>
          <w:sz w:val="24"/>
          <w:szCs w:val="24"/>
          <w:lang w:val="mi-NZ"/>
        </w:rPr>
        <w:t xml:space="preserve">, </w:t>
      </w:r>
      <w:r w:rsidR="00354965" w:rsidRPr="006D30E6">
        <w:rPr>
          <w:rFonts w:cstheme="minorHAnsi"/>
          <w:sz w:val="24"/>
          <w:szCs w:val="24"/>
          <w:lang w:val="mi-NZ"/>
        </w:rPr>
        <w:t>the Ministry of Justice Notice of Conviction and reports from Ms Hanley’s psycholog</w:t>
      </w:r>
      <w:r w:rsidR="009F5E79" w:rsidRPr="006D30E6">
        <w:rPr>
          <w:rFonts w:cstheme="minorHAnsi"/>
          <w:sz w:val="24"/>
          <w:szCs w:val="24"/>
          <w:lang w:val="mi-NZ"/>
        </w:rPr>
        <w:t>i</w:t>
      </w:r>
      <w:r w:rsidR="00354965" w:rsidRPr="006D30E6">
        <w:rPr>
          <w:rFonts w:cstheme="minorHAnsi"/>
          <w:sz w:val="24"/>
          <w:szCs w:val="24"/>
          <w:lang w:val="mi-NZ"/>
        </w:rPr>
        <w:t>st and general practitioner, amongst other things. Mr Regan</w:t>
      </w:r>
      <w:r w:rsidR="009F5E79" w:rsidRPr="006D30E6">
        <w:rPr>
          <w:rFonts w:cstheme="minorHAnsi"/>
          <w:sz w:val="24"/>
          <w:szCs w:val="24"/>
          <w:lang w:val="mi-NZ"/>
        </w:rPr>
        <w:t xml:space="preserve"> appeared as counsel for the PCC and</w:t>
      </w:r>
      <w:r w:rsidR="00354965" w:rsidRPr="006D30E6">
        <w:rPr>
          <w:rFonts w:cstheme="minorHAnsi"/>
          <w:sz w:val="24"/>
          <w:szCs w:val="24"/>
          <w:lang w:val="mi-NZ"/>
        </w:rPr>
        <w:t xml:space="preserve"> addressed the Tribunal on written submissions that were filed in advance of the hearing.</w:t>
      </w:r>
      <w:r w:rsidRPr="006D30E6">
        <w:rPr>
          <w:rFonts w:cstheme="minorHAnsi"/>
          <w:sz w:val="24"/>
          <w:szCs w:val="24"/>
          <w:lang w:val="mi-NZ"/>
        </w:rPr>
        <w:t xml:space="preserve"> Ms Hanley did not appear</w:t>
      </w:r>
      <w:r w:rsidR="00354965" w:rsidRPr="006D30E6">
        <w:rPr>
          <w:rFonts w:cstheme="minorHAnsi"/>
          <w:sz w:val="24"/>
          <w:szCs w:val="24"/>
          <w:lang w:val="mi-NZ"/>
        </w:rPr>
        <w:t xml:space="preserve"> but did provide a two page statement dated 9 November 2020, together with details of her financial circumstances</w:t>
      </w:r>
      <w:r w:rsidR="009F5E79" w:rsidRPr="006D30E6">
        <w:rPr>
          <w:rFonts w:cstheme="minorHAnsi"/>
          <w:sz w:val="24"/>
          <w:szCs w:val="24"/>
          <w:lang w:val="mi-NZ"/>
        </w:rPr>
        <w:t>,  both of wh</w:t>
      </w:r>
      <w:r w:rsidR="00C719C6" w:rsidRPr="006D30E6">
        <w:rPr>
          <w:rFonts w:cstheme="minorHAnsi"/>
          <w:sz w:val="24"/>
          <w:szCs w:val="24"/>
          <w:lang w:val="mi-NZ"/>
        </w:rPr>
        <w:t>ich</w:t>
      </w:r>
      <w:r w:rsidR="009F5E79" w:rsidRPr="006D30E6">
        <w:rPr>
          <w:rFonts w:cstheme="minorHAnsi"/>
          <w:sz w:val="24"/>
          <w:szCs w:val="24"/>
          <w:lang w:val="mi-NZ"/>
        </w:rPr>
        <w:t xml:space="preserve"> were admitted by consent</w:t>
      </w:r>
      <w:r w:rsidRPr="006D30E6">
        <w:rPr>
          <w:rFonts w:cstheme="minorHAnsi"/>
          <w:sz w:val="24"/>
          <w:szCs w:val="24"/>
          <w:lang w:val="mi-NZ"/>
        </w:rPr>
        <w:t>.</w:t>
      </w:r>
    </w:p>
    <w:p w14:paraId="590753E4" w14:textId="092A3496" w:rsidR="00354965" w:rsidRPr="006D30E6" w:rsidRDefault="00354965" w:rsidP="00354965">
      <w:pPr>
        <w:pStyle w:val="ListParagraph"/>
        <w:jc w:val="both"/>
        <w:rPr>
          <w:rFonts w:cstheme="minorHAnsi"/>
          <w:sz w:val="24"/>
          <w:szCs w:val="24"/>
          <w:lang w:val="mi-NZ"/>
        </w:rPr>
      </w:pPr>
    </w:p>
    <w:p w14:paraId="27002323" w14:textId="77777777" w:rsidR="00C57E8E" w:rsidRPr="006D30E6" w:rsidRDefault="00C57E8E" w:rsidP="00354965">
      <w:pPr>
        <w:pStyle w:val="ListParagraph"/>
        <w:jc w:val="both"/>
        <w:rPr>
          <w:rFonts w:cstheme="minorHAnsi"/>
          <w:b/>
          <w:bCs/>
          <w:sz w:val="24"/>
          <w:szCs w:val="24"/>
          <w:lang w:val="mi-NZ"/>
        </w:rPr>
      </w:pPr>
      <w:r w:rsidRPr="006D30E6">
        <w:rPr>
          <w:rFonts w:cstheme="minorHAnsi"/>
          <w:b/>
          <w:bCs/>
          <w:sz w:val="24"/>
          <w:szCs w:val="24"/>
          <w:lang w:val="mi-NZ"/>
        </w:rPr>
        <w:br w:type="page"/>
      </w:r>
    </w:p>
    <w:p w14:paraId="33302167" w14:textId="499CFF6F" w:rsidR="00354965" w:rsidRDefault="00354965" w:rsidP="00D9076C">
      <w:pPr>
        <w:pStyle w:val="ListParagraph"/>
        <w:ind w:left="0"/>
        <w:jc w:val="both"/>
        <w:rPr>
          <w:rFonts w:cstheme="minorHAnsi"/>
          <w:b/>
          <w:bCs/>
          <w:sz w:val="24"/>
          <w:szCs w:val="24"/>
          <w:lang w:val="mi-NZ"/>
        </w:rPr>
      </w:pPr>
      <w:r w:rsidRPr="006D30E6">
        <w:rPr>
          <w:rFonts w:cstheme="minorHAnsi"/>
          <w:b/>
          <w:bCs/>
          <w:sz w:val="24"/>
          <w:szCs w:val="24"/>
          <w:lang w:val="mi-NZ"/>
        </w:rPr>
        <w:lastRenderedPageBreak/>
        <w:t>Section 82(1)(c)</w:t>
      </w:r>
    </w:p>
    <w:p w14:paraId="37AB8C40" w14:textId="77777777" w:rsidR="00D9076C" w:rsidRPr="006D30E6" w:rsidRDefault="00D9076C" w:rsidP="00D9076C">
      <w:pPr>
        <w:pStyle w:val="ListParagraph"/>
        <w:ind w:left="567"/>
        <w:jc w:val="both"/>
        <w:rPr>
          <w:rFonts w:cstheme="minorHAnsi"/>
          <w:b/>
          <w:bCs/>
          <w:sz w:val="24"/>
          <w:szCs w:val="24"/>
          <w:lang w:val="mi-NZ"/>
        </w:rPr>
      </w:pPr>
    </w:p>
    <w:p w14:paraId="533174F7" w14:textId="01A2960B" w:rsidR="00ED400D" w:rsidRPr="006D30E6" w:rsidRDefault="002A48B8" w:rsidP="00980624">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The burden of pr</w:t>
      </w:r>
      <w:r w:rsidR="00D1008B" w:rsidRPr="006D30E6">
        <w:rPr>
          <w:rFonts w:cstheme="minorHAnsi"/>
          <w:sz w:val="24"/>
          <w:szCs w:val="24"/>
          <w:lang w:val="mi-NZ"/>
        </w:rPr>
        <w:t>o</w:t>
      </w:r>
      <w:r w:rsidRPr="006D30E6">
        <w:rPr>
          <w:rFonts w:cstheme="minorHAnsi"/>
          <w:sz w:val="24"/>
          <w:szCs w:val="24"/>
          <w:lang w:val="mi-NZ"/>
        </w:rPr>
        <w:t>of rests with the PCC to prove the charge to the civil standard, the balance of probabilities</w:t>
      </w:r>
      <w:r w:rsidR="00B17D9C" w:rsidRPr="006D30E6">
        <w:rPr>
          <w:rStyle w:val="FootnoteReference"/>
          <w:rFonts w:cstheme="minorHAnsi"/>
          <w:sz w:val="24"/>
          <w:szCs w:val="24"/>
          <w:lang w:val="mi-NZ"/>
        </w:rPr>
        <w:footnoteReference w:id="1"/>
      </w:r>
      <w:r w:rsidR="00ED400D" w:rsidRPr="006D30E6">
        <w:rPr>
          <w:rFonts w:cstheme="minorHAnsi"/>
          <w:sz w:val="24"/>
          <w:szCs w:val="24"/>
          <w:lang w:val="mi-NZ"/>
        </w:rPr>
        <w:t>.</w:t>
      </w:r>
      <w:r w:rsidRPr="006D30E6">
        <w:rPr>
          <w:rFonts w:cstheme="minorHAnsi"/>
          <w:sz w:val="24"/>
          <w:szCs w:val="24"/>
          <w:lang w:val="mi-NZ"/>
        </w:rPr>
        <w:t xml:space="preserve"> </w:t>
      </w:r>
      <w:r w:rsidR="00ED400D" w:rsidRPr="006D30E6">
        <w:rPr>
          <w:rFonts w:cstheme="minorHAnsi"/>
          <w:sz w:val="24"/>
          <w:szCs w:val="24"/>
          <w:lang w:val="mi-NZ"/>
        </w:rPr>
        <w:t xml:space="preserve"> </w:t>
      </w:r>
      <w:r w:rsidR="00B17D9C" w:rsidRPr="006D30E6">
        <w:rPr>
          <w:rFonts w:cstheme="minorHAnsi"/>
          <w:sz w:val="24"/>
          <w:szCs w:val="24"/>
          <w:lang w:val="mi-NZ"/>
        </w:rPr>
        <w:t>Section 82(1)(c)(i) requires evidence of a qualifying conviction, being one that carries a penalty of 3 months imprisonment or more. This can be established by way of a formal Notice of Conviction.</w:t>
      </w:r>
    </w:p>
    <w:p w14:paraId="5D18D60A" w14:textId="77777777" w:rsidR="00B17D9C" w:rsidRPr="006D30E6" w:rsidRDefault="00B17D9C" w:rsidP="00980624">
      <w:pPr>
        <w:pStyle w:val="ListParagraph"/>
        <w:ind w:left="567" w:hanging="567"/>
        <w:jc w:val="both"/>
        <w:rPr>
          <w:rFonts w:cstheme="minorHAnsi"/>
          <w:sz w:val="24"/>
          <w:szCs w:val="24"/>
          <w:lang w:val="mi-NZ"/>
        </w:rPr>
      </w:pPr>
    </w:p>
    <w:p w14:paraId="1FA2E971" w14:textId="4CFCD0E1" w:rsidR="00B17D9C" w:rsidRPr="006D30E6" w:rsidRDefault="00B17D9C" w:rsidP="00980624">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 xml:space="preserve">The rider in section 82(1)(c)(ii) requires that </w:t>
      </w:r>
      <w:r w:rsidR="009F5E79" w:rsidRPr="006D30E6">
        <w:rPr>
          <w:rFonts w:cstheme="minorHAnsi"/>
          <w:sz w:val="24"/>
          <w:szCs w:val="24"/>
          <w:lang w:val="mi-NZ"/>
        </w:rPr>
        <w:t>in addition to a qu</w:t>
      </w:r>
      <w:r w:rsidR="000964C3" w:rsidRPr="006D30E6">
        <w:rPr>
          <w:rFonts w:cstheme="minorHAnsi"/>
          <w:sz w:val="24"/>
          <w:szCs w:val="24"/>
          <w:lang w:val="mi-NZ"/>
        </w:rPr>
        <w:t>a</w:t>
      </w:r>
      <w:r w:rsidR="009F5E79" w:rsidRPr="006D30E6">
        <w:rPr>
          <w:rFonts w:cstheme="minorHAnsi"/>
          <w:sz w:val="24"/>
          <w:szCs w:val="24"/>
          <w:lang w:val="mi-NZ"/>
        </w:rPr>
        <w:t xml:space="preserve">lifying conviction </w:t>
      </w:r>
      <w:r w:rsidR="00C719C6" w:rsidRPr="006D30E6">
        <w:rPr>
          <w:rFonts w:cstheme="minorHAnsi"/>
          <w:sz w:val="24"/>
          <w:szCs w:val="24"/>
          <w:lang w:val="mi-NZ"/>
        </w:rPr>
        <w:t>which gives rise to t</w:t>
      </w:r>
      <w:r w:rsidR="009F5E79" w:rsidRPr="006D30E6">
        <w:rPr>
          <w:rFonts w:cstheme="minorHAnsi"/>
          <w:sz w:val="24"/>
          <w:szCs w:val="24"/>
          <w:lang w:val="mi-NZ"/>
        </w:rPr>
        <w:t>he need to consider dis</w:t>
      </w:r>
      <w:r w:rsidR="000964C3" w:rsidRPr="006D30E6">
        <w:rPr>
          <w:rFonts w:cstheme="minorHAnsi"/>
          <w:sz w:val="24"/>
          <w:szCs w:val="24"/>
          <w:lang w:val="mi-NZ"/>
        </w:rPr>
        <w:t>c</w:t>
      </w:r>
      <w:r w:rsidR="009F5E79" w:rsidRPr="006D30E6">
        <w:rPr>
          <w:rFonts w:cstheme="minorHAnsi"/>
          <w:sz w:val="24"/>
          <w:szCs w:val="24"/>
          <w:lang w:val="mi-NZ"/>
        </w:rPr>
        <w:t xml:space="preserve">ipline, </w:t>
      </w:r>
      <w:r w:rsidRPr="006D30E6">
        <w:rPr>
          <w:rFonts w:cstheme="minorHAnsi"/>
          <w:sz w:val="24"/>
          <w:szCs w:val="24"/>
          <w:lang w:val="mi-NZ"/>
        </w:rPr>
        <w:t>the circumstances of the conviction must be found to reflect adversely on the practitioner’s fitness to practise. It is well settled that this does not require the Tribunal to find that in fact Ms Hanl</w:t>
      </w:r>
      <w:r w:rsidR="000964C3" w:rsidRPr="006D30E6">
        <w:rPr>
          <w:rFonts w:cstheme="minorHAnsi"/>
          <w:sz w:val="24"/>
          <w:szCs w:val="24"/>
          <w:lang w:val="mi-NZ"/>
        </w:rPr>
        <w:t>e</w:t>
      </w:r>
      <w:r w:rsidRPr="006D30E6">
        <w:rPr>
          <w:rFonts w:cstheme="minorHAnsi"/>
          <w:sz w:val="24"/>
          <w:szCs w:val="24"/>
          <w:lang w:val="mi-NZ"/>
        </w:rPr>
        <w:t>y is unfit and as Mr Regan observed, that is an important distinction. Section 82(1)(c)(ii) is identical to s 82(1)(b)(ii) of the Act, and also</w:t>
      </w:r>
      <w:r w:rsidR="00980624">
        <w:rPr>
          <w:rFonts w:cstheme="minorHAnsi"/>
          <w:sz w:val="24"/>
          <w:szCs w:val="24"/>
          <w:lang w:val="mi-NZ"/>
        </w:rPr>
        <w:t xml:space="preserve"> </w:t>
      </w:r>
      <w:r w:rsidRPr="006D30E6">
        <w:rPr>
          <w:rFonts w:cstheme="minorHAnsi"/>
          <w:sz w:val="24"/>
          <w:szCs w:val="24"/>
          <w:lang w:val="mi-NZ"/>
        </w:rPr>
        <w:t xml:space="preserve">s </w:t>
      </w:r>
      <w:r w:rsidR="00C719C6" w:rsidRPr="006D30E6">
        <w:rPr>
          <w:rFonts w:cstheme="minorHAnsi"/>
          <w:sz w:val="24"/>
          <w:szCs w:val="24"/>
          <w:lang w:val="mi-NZ"/>
        </w:rPr>
        <w:t>100(1)(c)</w:t>
      </w:r>
      <w:r w:rsidRPr="006D30E6">
        <w:rPr>
          <w:rFonts w:cstheme="minorHAnsi"/>
          <w:sz w:val="24"/>
          <w:szCs w:val="24"/>
          <w:lang w:val="mi-NZ"/>
        </w:rPr>
        <w:t xml:space="preserve"> of the Health Practitioners Competence Assurance Act 2003. The Tribunal </w:t>
      </w:r>
      <w:r w:rsidR="000964C3" w:rsidRPr="006D30E6">
        <w:rPr>
          <w:rFonts w:cstheme="minorHAnsi"/>
          <w:sz w:val="24"/>
          <w:szCs w:val="24"/>
          <w:lang w:val="mi-NZ"/>
        </w:rPr>
        <w:t>agrees with the discussion</w:t>
      </w:r>
      <w:r w:rsidRPr="006D30E6">
        <w:rPr>
          <w:rFonts w:cstheme="minorHAnsi"/>
          <w:sz w:val="24"/>
          <w:szCs w:val="24"/>
          <w:lang w:val="mi-NZ"/>
        </w:rPr>
        <w:t xml:space="preserve"> in</w:t>
      </w:r>
      <w:r w:rsidR="005F4FC1" w:rsidRPr="006D30E6">
        <w:rPr>
          <w:rFonts w:cstheme="minorHAnsi"/>
          <w:sz w:val="24"/>
          <w:szCs w:val="24"/>
          <w:lang w:val="mi-NZ"/>
        </w:rPr>
        <w:t xml:space="preserve"> </w:t>
      </w:r>
      <w:r w:rsidRPr="006D30E6">
        <w:rPr>
          <w:rFonts w:cstheme="minorHAnsi"/>
          <w:sz w:val="24"/>
          <w:szCs w:val="24"/>
          <w:lang w:val="mi-NZ"/>
        </w:rPr>
        <w:t xml:space="preserve"> </w:t>
      </w:r>
      <w:r w:rsidRPr="006D30E6">
        <w:rPr>
          <w:rFonts w:cstheme="minorHAnsi"/>
          <w:i/>
          <w:iCs/>
          <w:sz w:val="24"/>
          <w:szCs w:val="24"/>
          <w:lang w:val="mi-NZ"/>
        </w:rPr>
        <w:t>Zauka</w:t>
      </w:r>
      <w:r w:rsidR="005F4FC1" w:rsidRPr="006D30E6">
        <w:rPr>
          <w:rStyle w:val="FootnoteReference"/>
          <w:rFonts w:cstheme="minorHAnsi"/>
          <w:i/>
          <w:iCs/>
          <w:sz w:val="24"/>
          <w:szCs w:val="24"/>
          <w:lang w:val="mi-NZ"/>
        </w:rPr>
        <w:footnoteReference w:id="2"/>
      </w:r>
      <w:r w:rsidRPr="006D30E6">
        <w:rPr>
          <w:rFonts w:cstheme="minorHAnsi"/>
          <w:sz w:val="24"/>
          <w:szCs w:val="24"/>
          <w:lang w:val="mi-NZ"/>
        </w:rPr>
        <w:t xml:space="preserve"> as to the meaning of the rider, as follows:</w:t>
      </w:r>
    </w:p>
    <w:p w14:paraId="47E2608D" w14:textId="77777777" w:rsidR="00B17D9C" w:rsidRPr="006D30E6" w:rsidRDefault="00B17D9C" w:rsidP="00B17D9C">
      <w:pPr>
        <w:pStyle w:val="ListParagraph"/>
        <w:rPr>
          <w:rFonts w:cstheme="minorHAnsi"/>
          <w:sz w:val="24"/>
          <w:szCs w:val="24"/>
          <w:lang w:val="mi-NZ"/>
        </w:rPr>
      </w:pPr>
    </w:p>
    <w:p w14:paraId="529EEC85" w14:textId="1E7CA31B" w:rsidR="00B17D9C" w:rsidRPr="006D30E6" w:rsidRDefault="00B17D9C" w:rsidP="00980624">
      <w:pPr>
        <w:pStyle w:val="ListParagraph"/>
        <w:ind w:left="1134"/>
        <w:jc w:val="both"/>
        <w:rPr>
          <w:rFonts w:cstheme="minorHAnsi"/>
          <w:sz w:val="24"/>
          <w:szCs w:val="24"/>
          <w:lang w:val="mi-NZ"/>
        </w:rPr>
      </w:pPr>
      <w:r w:rsidRPr="006D30E6">
        <w:rPr>
          <w:rFonts w:cstheme="minorHAnsi"/>
          <w:sz w:val="24"/>
          <w:szCs w:val="24"/>
          <w:lang w:val="mi-NZ"/>
        </w:rPr>
        <w:t>“It is not necessary that the proven conduct should conclusively demon</w:t>
      </w:r>
      <w:r w:rsidR="00C5674A" w:rsidRPr="006D30E6">
        <w:rPr>
          <w:rFonts w:cstheme="minorHAnsi"/>
          <w:sz w:val="24"/>
          <w:szCs w:val="24"/>
          <w:lang w:val="mi-NZ"/>
        </w:rPr>
        <w:t>s</w:t>
      </w:r>
      <w:r w:rsidRPr="006D30E6">
        <w:rPr>
          <w:rFonts w:cstheme="minorHAnsi"/>
          <w:sz w:val="24"/>
          <w:szCs w:val="24"/>
          <w:lang w:val="mi-NZ"/>
        </w:rPr>
        <w:t>trate that the practitioner is unfit to practise. The conduct will need to be of a kind that is inconsistent with what might be expected from a practitioner who acts in compliance with the standards normally observed by those who are fit to practise medicine. Not every divergence from recognised standards will reflect adversely on a practitioner’s fitness to practise. It is a matter of degree.”</w:t>
      </w:r>
    </w:p>
    <w:p w14:paraId="35E4885A" w14:textId="77777777" w:rsidR="00B17D9C" w:rsidRPr="006D30E6" w:rsidRDefault="00B17D9C" w:rsidP="00B17D9C">
      <w:pPr>
        <w:pStyle w:val="ListParagraph"/>
        <w:rPr>
          <w:rFonts w:cstheme="minorHAnsi"/>
          <w:sz w:val="24"/>
          <w:szCs w:val="24"/>
          <w:lang w:val="mi-NZ"/>
        </w:rPr>
      </w:pPr>
    </w:p>
    <w:p w14:paraId="6EE0269E" w14:textId="40645D0C" w:rsidR="005A3785" w:rsidRPr="006D30E6" w:rsidRDefault="005A3785" w:rsidP="00980624">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Fitness to practise is not confi</w:t>
      </w:r>
      <w:r w:rsidR="004A7066" w:rsidRPr="006D30E6">
        <w:rPr>
          <w:rFonts w:cstheme="minorHAnsi"/>
          <w:sz w:val="24"/>
          <w:szCs w:val="24"/>
          <w:lang w:val="mi-NZ"/>
        </w:rPr>
        <w:t>n</w:t>
      </w:r>
      <w:r w:rsidRPr="006D30E6">
        <w:rPr>
          <w:rFonts w:cstheme="minorHAnsi"/>
          <w:sz w:val="24"/>
          <w:szCs w:val="24"/>
          <w:lang w:val="mi-NZ"/>
        </w:rPr>
        <w:t xml:space="preserve">ed to matters that go to a social worker’s competence, as is apparent from the </w:t>
      </w:r>
      <w:r w:rsidR="000964C3" w:rsidRPr="006D30E6">
        <w:rPr>
          <w:rFonts w:cstheme="minorHAnsi"/>
          <w:sz w:val="24"/>
          <w:szCs w:val="24"/>
          <w:lang w:val="mi-NZ"/>
        </w:rPr>
        <w:t xml:space="preserve">previous decisions of this Tribunal and </w:t>
      </w:r>
      <w:r w:rsidR="004A7066" w:rsidRPr="006D30E6">
        <w:rPr>
          <w:rFonts w:cstheme="minorHAnsi"/>
          <w:sz w:val="24"/>
          <w:szCs w:val="24"/>
          <w:lang w:val="mi-NZ"/>
        </w:rPr>
        <w:t>numerous authorities addressing provisions identical to s82(1)(c)(ii)</w:t>
      </w:r>
      <w:r w:rsidR="000964C3" w:rsidRPr="006D30E6">
        <w:rPr>
          <w:rFonts w:cstheme="minorHAnsi"/>
          <w:sz w:val="24"/>
          <w:szCs w:val="24"/>
          <w:lang w:val="mi-NZ"/>
        </w:rPr>
        <w:t>. It is also clear from the</w:t>
      </w:r>
      <w:r w:rsidRPr="006D30E6">
        <w:rPr>
          <w:rFonts w:cstheme="minorHAnsi"/>
          <w:sz w:val="24"/>
          <w:szCs w:val="24"/>
          <w:lang w:val="mi-NZ"/>
        </w:rPr>
        <w:t xml:space="preserve"> distinction in the Act between competence</w:t>
      </w:r>
      <w:r w:rsidR="000964C3" w:rsidRPr="006D30E6">
        <w:rPr>
          <w:rFonts w:cstheme="minorHAnsi"/>
          <w:sz w:val="24"/>
          <w:szCs w:val="24"/>
          <w:lang w:val="mi-NZ"/>
        </w:rPr>
        <w:t xml:space="preserve"> and</w:t>
      </w:r>
      <w:r w:rsidRPr="006D30E6">
        <w:rPr>
          <w:rFonts w:cstheme="minorHAnsi"/>
          <w:sz w:val="24"/>
          <w:szCs w:val="24"/>
          <w:lang w:val="mi-NZ"/>
        </w:rPr>
        <w:t xml:space="preserve"> fitness</w:t>
      </w:r>
      <w:r w:rsidR="004A7066" w:rsidRPr="006D30E6">
        <w:rPr>
          <w:rFonts w:cstheme="minorHAnsi"/>
          <w:sz w:val="24"/>
          <w:szCs w:val="24"/>
          <w:lang w:val="mi-NZ"/>
        </w:rPr>
        <w:t xml:space="preserve"> in Part 3</w:t>
      </w:r>
      <w:r w:rsidRPr="006D30E6">
        <w:rPr>
          <w:rFonts w:cstheme="minorHAnsi"/>
          <w:sz w:val="24"/>
          <w:szCs w:val="24"/>
          <w:lang w:val="mi-NZ"/>
        </w:rPr>
        <w:t>.</w:t>
      </w:r>
      <w:r w:rsidR="004A7066" w:rsidRPr="006D30E6">
        <w:rPr>
          <w:rFonts w:cstheme="minorHAnsi"/>
          <w:sz w:val="24"/>
          <w:szCs w:val="24"/>
          <w:lang w:val="mi-NZ"/>
        </w:rPr>
        <w:t xml:space="preserve"> </w:t>
      </w:r>
    </w:p>
    <w:p w14:paraId="148E43AB" w14:textId="77777777" w:rsidR="005A3785" w:rsidRPr="006D30E6" w:rsidRDefault="005A3785" w:rsidP="00980624">
      <w:pPr>
        <w:pStyle w:val="ListParagraph"/>
        <w:ind w:left="567" w:hanging="567"/>
        <w:jc w:val="both"/>
        <w:rPr>
          <w:rFonts w:cstheme="minorHAnsi"/>
          <w:sz w:val="24"/>
          <w:szCs w:val="24"/>
          <w:lang w:val="mi-NZ"/>
        </w:rPr>
      </w:pPr>
    </w:p>
    <w:p w14:paraId="2E290FB4" w14:textId="0093555D" w:rsidR="005A3785" w:rsidRPr="006D30E6" w:rsidRDefault="005A3785" w:rsidP="00980624">
      <w:pPr>
        <w:pStyle w:val="ListParagraph"/>
        <w:ind w:left="567" w:hanging="567"/>
        <w:jc w:val="both"/>
        <w:rPr>
          <w:rFonts w:cstheme="minorHAnsi"/>
          <w:b/>
          <w:bCs/>
          <w:sz w:val="24"/>
          <w:szCs w:val="24"/>
          <w:lang w:val="mi-NZ"/>
        </w:rPr>
      </w:pPr>
      <w:r w:rsidRPr="006D30E6">
        <w:rPr>
          <w:rFonts w:cstheme="minorHAnsi"/>
          <w:b/>
          <w:bCs/>
          <w:sz w:val="24"/>
          <w:szCs w:val="24"/>
          <w:lang w:val="mi-NZ"/>
        </w:rPr>
        <w:t>The Agreed Summary of Facts</w:t>
      </w:r>
    </w:p>
    <w:p w14:paraId="2F3E8AEE" w14:textId="77777777" w:rsidR="005A3785" w:rsidRPr="006D30E6" w:rsidRDefault="005A3785" w:rsidP="00980624">
      <w:pPr>
        <w:pStyle w:val="ListParagraph"/>
        <w:ind w:left="567" w:hanging="567"/>
        <w:jc w:val="both"/>
        <w:rPr>
          <w:rFonts w:cstheme="minorHAnsi"/>
          <w:sz w:val="24"/>
          <w:szCs w:val="24"/>
          <w:lang w:val="mi-NZ"/>
        </w:rPr>
      </w:pPr>
    </w:p>
    <w:p w14:paraId="38BAC543" w14:textId="702E6AB0" w:rsidR="005F4FC1" w:rsidRPr="006D30E6" w:rsidRDefault="005F4FC1" w:rsidP="00980624">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According to the</w:t>
      </w:r>
      <w:r w:rsidR="002A48B8" w:rsidRPr="006D30E6">
        <w:rPr>
          <w:rFonts w:cstheme="minorHAnsi"/>
          <w:sz w:val="24"/>
          <w:szCs w:val="24"/>
          <w:lang w:val="mi-NZ"/>
        </w:rPr>
        <w:t xml:space="preserve"> Agreed Summary Ms Hanley registered with the Board on 11 Febru</w:t>
      </w:r>
      <w:r w:rsidR="00B17D9C" w:rsidRPr="006D30E6">
        <w:rPr>
          <w:rFonts w:cstheme="minorHAnsi"/>
          <w:sz w:val="24"/>
          <w:szCs w:val="24"/>
          <w:lang w:val="mi-NZ"/>
        </w:rPr>
        <w:t>a</w:t>
      </w:r>
      <w:r w:rsidR="002A48B8" w:rsidRPr="006D30E6">
        <w:rPr>
          <w:rFonts w:cstheme="minorHAnsi"/>
          <w:sz w:val="24"/>
          <w:szCs w:val="24"/>
          <w:lang w:val="mi-NZ"/>
        </w:rPr>
        <w:t>ry 2010 and worked as a community social worker before gaining employment with Oranga Tamariki</w:t>
      </w:r>
      <w:r w:rsidR="00B17D9C" w:rsidRPr="006D30E6">
        <w:rPr>
          <w:rFonts w:cstheme="minorHAnsi"/>
          <w:sz w:val="24"/>
          <w:szCs w:val="24"/>
          <w:lang w:val="mi-NZ"/>
        </w:rPr>
        <w:t>. Ms Hanley’s statement adds that she worked first</w:t>
      </w:r>
      <w:r w:rsidR="002A48B8" w:rsidRPr="006D30E6">
        <w:rPr>
          <w:rFonts w:cstheme="minorHAnsi"/>
          <w:sz w:val="24"/>
          <w:szCs w:val="24"/>
          <w:lang w:val="mi-NZ"/>
        </w:rPr>
        <w:t xml:space="preserve"> in a care and protection role and then in </w:t>
      </w:r>
      <w:r w:rsidR="00B17D9C" w:rsidRPr="006D30E6">
        <w:rPr>
          <w:rFonts w:cstheme="minorHAnsi"/>
          <w:sz w:val="24"/>
          <w:szCs w:val="24"/>
          <w:lang w:val="mi-NZ"/>
        </w:rPr>
        <w:t>y</w:t>
      </w:r>
      <w:r w:rsidR="002A48B8" w:rsidRPr="006D30E6">
        <w:rPr>
          <w:rFonts w:cstheme="minorHAnsi"/>
          <w:sz w:val="24"/>
          <w:szCs w:val="24"/>
          <w:lang w:val="mi-NZ"/>
        </w:rPr>
        <w:t xml:space="preserve">outh </w:t>
      </w:r>
      <w:r w:rsidR="00B17D9C" w:rsidRPr="006D30E6">
        <w:rPr>
          <w:rFonts w:cstheme="minorHAnsi"/>
          <w:sz w:val="24"/>
          <w:szCs w:val="24"/>
          <w:lang w:val="mi-NZ"/>
        </w:rPr>
        <w:t>j</w:t>
      </w:r>
      <w:r w:rsidR="002A48B8" w:rsidRPr="006D30E6">
        <w:rPr>
          <w:rFonts w:cstheme="minorHAnsi"/>
          <w:sz w:val="24"/>
          <w:szCs w:val="24"/>
          <w:lang w:val="mi-NZ"/>
        </w:rPr>
        <w:t xml:space="preserve">ustice, where she remained until </w:t>
      </w:r>
      <w:r w:rsidR="00D1008B" w:rsidRPr="006D30E6">
        <w:rPr>
          <w:rFonts w:cstheme="minorHAnsi"/>
          <w:sz w:val="24"/>
          <w:szCs w:val="24"/>
          <w:lang w:val="mi-NZ"/>
        </w:rPr>
        <w:t xml:space="preserve">resigning on </w:t>
      </w:r>
      <w:r w:rsidR="002A48B8" w:rsidRPr="006D30E6">
        <w:rPr>
          <w:rFonts w:cstheme="minorHAnsi"/>
          <w:sz w:val="24"/>
          <w:szCs w:val="24"/>
          <w:lang w:val="mi-NZ"/>
        </w:rPr>
        <w:t xml:space="preserve">2 April 2019. </w:t>
      </w:r>
    </w:p>
    <w:p w14:paraId="3FBFC97D" w14:textId="77777777" w:rsidR="005F4FC1" w:rsidRPr="006D30E6" w:rsidRDefault="005F4FC1" w:rsidP="00980624">
      <w:pPr>
        <w:pStyle w:val="ListParagraph"/>
        <w:ind w:left="567" w:hanging="567"/>
        <w:jc w:val="both"/>
        <w:rPr>
          <w:rFonts w:cstheme="minorHAnsi"/>
          <w:sz w:val="24"/>
          <w:szCs w:val="24"/>
          <w:lang w:val="mi-NZ"/>
        </w:rPr>
      </w:pPr>
    </w:p>
    <w:p w14:paraId="0463D592" w14:textId="19986672" w:rsidR="002A48B8" w:rsidRPr="006D30E6" w:rsidRDefault="002A48B8" w:rsidP="00980624">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With regard to the circumstances of the offending</w:t>
      </w:r>
      <w:r w:rsidR="00D1008B" w:rsidRPr="006D30E6">
        <w:rPr>
          <w:rFonts w:cstheme="minorHAnsi"/>
          <w:sz w:val="24"/>
          <w:szCs w:val="24"/>
          <w:lang w:val="mi-NZ"/>
        </w:rPr>
        <w:t>,</w:t>
      </w:r>
      <w:r w:rsidRPr="006D30E6">
        <w:rPr>
          <w:rFonts w:cstheme="minorHAnsi"/>
          <w:sz w:val="24"/>
          <w:szCs w:val="24"/>
          <w:lang w:val="mi-NZ"/>
        </w:rPr>
        <w:t xml:space="preserve"> the Agreed Summary </w:t>
      </w:r>
      <w:r w:rsidR="000964C3" w:rsidRPr="006D30E6">
        <w:rPr>
          <w:rFonts w:cstheme="minorHAnsi"/>
          <w:sz w:val="24"/>
          <w:szCs w:val="24"/>
          <w:lang w:val="mi-NZ"/>
        </w:rPr>
        <w:t>describes the</w:t>
      </w:r>
      <w:r w:rsidRPr="006D30E6">
        <w:rPr>
          <w:rFonts w:cstheme="minorHAnsi"/>
          <w:sz w:val="24"/>
          <w:szCs w:val="24"/>
          <w:lang w:val="mi-NZ"/>
        </w:rPr>
        <w:t xml:space="preserve"> following facts as underpinning Ms Hanley’s conviction</w:t>
      </w:r>
      <w:r w:rsidR="00B17D9C" w:rsidRPr="006D30E6">
        <w:rPr>
          <w:rFonts w:cstheme="minorHAnsi"/>
          <w:sz w:val="24"/>
          <w:szCs w:val="24"/>
          <w:lang w:val="mi-NZ"/>
        </w:rPr>
        <w:t xml:space="preserve">, </w:t>
      </w:r>
      <w:r w:rsidR="00D1008B" w:rsidRPr="006D30E6">
        <w:rPr>
          <w:rFonts w:cstheme="minorHAnsi"/>
          <w:sz w:val="24"/>
          <w:szCs w:val="24"/>
          <w:lang w:val="mi-NZ"/>
        </w:rPr>
        <w:t>in reliance on</w:t>
      </w:r>
      <w:r w:rsidRPr="006D30E6">
        <w:rPr>
          <w:rFonts w:cstheme="minorHAnsi"/>
          <w:sz w:val="24"/>
          <w:szCs w:val="24"/>
          <w:lang w:val="mi-NZ"/>
        </w:rPr>
        <w:t xml:space="preserve"> </w:t>
      </w:r>
      <w:r w:rsidR="00B17D9C" w:rsidRPr="006D30E6">
        <w:rPr>
          <w:rFonts w:cstheme="minorHAnsi"/>
          <w:sz w:val="24"/>
          <w:szCs w:val="24"/>
          <w:lang w:val="mi-NZ"/>
        </w:rPr>
        <w:t xml:space="preserve">the </w:t>
      </w:r>
      <w:r w:rsidR="00275C35" w:rsidRPr="006D30E6">
        <w:rPr>
          <w:rFonts w:cstheme="minorHAnsi"/>
          <w:sz w:val="24"/>
          <w:szCs w:val="24"/>
          <w:lang w:val="mi-NZ"/>
        </w:rPr>
        <w:t>H</w:t>
      </w:r>
      <w:r w:rsidR="00B17D9C" w:rsidRPr="006D30E6">
        <w:rPr>
          <w:rFonts w:cstheme="minorHAnsi"/>
          <w:sz w:val="24"/>
          <w:szCs w:val="24"/>
          <w:lang w:val="mi-NZ"/>
        </w:rPr>
        <w:t xml:space="preserve">igh Court’s decision </w:t>
      </w:r>
      <w:r w:rsidRPr="006D30E6">
        <w:rPr>
          <w:rFonts w:cstheme="minorHAnsi"/>
          <w:sz w:val="24"/>
          <w:szCs w:val="24"/>
          <w:lang w:val="mi-NZ"/>
        </w:rPr>
        <w:t xml:space="preserve">on </w:t>
      </w:r>
      <w:r w:rsidR="005F4FC1" w:rsidRPr="006D30E6">
        <w:rPr>
          <w:rFonts w:cstheme="minorHAnsi"/>
          <w:sz w:val="24"/>
          <w:szCs w:val="24"/>
          <w:lang w:val="mi-NZ"/>
        </w:rPr>
        <w:t xml:space="preserve">the </w:t>
      </w:r>
      <w:r w:rsidRPr="006D30E6">
        <w:rPr>
          <w:rFonts w:cstheme="minorHAnsi"/>
          <w:sz w:val="24"/>
          <w:szCs w:val="24"/>
          <w:lang w:val="mi-NZ"/>
        </w:rPr>
        <w:t>appeal against conviction</w:t>
      </w:r>
      <w:r w:rsidR="005F4FC1" w:rsidRPr="006D30E6">
        <w:rPr>
          <w:rFonts w:cstheme="minorHAnsi"/>
          <w:sz w:val="24"/>
          <w:szCs w:val="24"/>
          <w:lang w:val="mi-NZ"/>
        </w:rPr>
        <w:t xml:space="preserve"> and sentence</w:t>
      </w:r>
      <w:r w:rsidR="005F4FC1" w:rsidRPr="006D30E6">
        <w:rPr>
          <w:rStyle w:val="FootnoteReference"/>
          <w:rFonts w:cstheme="minorHAnsi"/>
          <w:sz w:val="24"/>
          <w:szCs w:val="24"/>
          <w:lang w:val="mi-NZ"/>
        </w:rPr>
        <w:footnoteReference w:id="3"/>
      </w:r>
      <w:r w:rsidRPr="006D30E6">
        <w:rPr>
          <w:rFonts w:cstheme="minorHAnsi"/>
          <w:sz w:val="24"/>
          <w:szCs w:val="24"/>
          <w:lang w:val="mi-NZ"/>
        </w:rPr>
        <w:t>:</w:t>
      </w:r>
    </w:p>
    <w:p w14:paraId="29A7C200" w14:textId="77777777" w:rsidR="002A48B8" w:rsidRPr="006D30E6" w:rsidRDefault="002A48B8" w:rsidP="002A48B8">
      <w:pPr>
        <w:pStyle w:val="ListParagraph"/>
        <w:jc w:val="both"/>
        <w:rPr>
          <w:rFonts w:cstheme="minorHAnsi"/>
          <w:sz w:val="24"/>
          <w:szCs w:val="24"/>
          <w:lang w:val="mi-NZ"/>
        </w:rPr>
      </w:pPr>
    </w:p>
    <w:p w14:paraId="03F05E42" w14:textId="7548870F" w:rsidR="00EF2269" w:rsidRPr="006D30E6" w:rsidRDefault="002A48B8" w:rsidP="00980624">
      <w:pPr>
        <w:pStyle w:val="ListParagraph"/>
        <w:ind w:left="567"/>
        <w:jc w:val="both"/>
        <w:rPr>
          <w:rFonts w:cstheme="minorHAnsi"/>
          <w:sz w:val="24"/>
          <w:szCs w:val="24"/>
          <w:lang w:val="mi-NZ"/>
        </w:rPr>
      </w:pPr>
      <w:r w:rsidRPr="006D30E6">
        <w:rPr>
          <w:rFonts w:cstheme="minorHAnsi"/>
          <w:sz w:val="24"/>
          <w:szCs w:val="24"/>
          <w:lang w:val="mi-NZ"/>
        </w:rPr>
        <w:lastRenderedPageBreak/>
        <w:t>“7  On appeal, Justice Simon France summarised the facts of Ms Hanley’s offending as follows:</w:t>
      </w:r>
      <w:bookmarkStart w:id="0" w:name="_GoBack"/>
      <w:bookmarkEnd w:id="0"/>
    </w:p>
    <w:p w14:paraId="7A724F4B" w14:textId="77777777" w:rsidR="00275C35" w:rsidRPr="006D30E6" w:rsidRDefault="00275C35" w:rsidP="002A48B8">
      <w:pPr>
        <w:pStyle w:val="ListParagraph"/>
        <w:jc w:val="both"/>
        <w:rPr>
          <w:rFonts w:cstheme="minorHAnsi"/>
          <w:sz w:val="24"/>
          <w:szCs w:val="24"/>
          <w:lang w:val="mi-NZ"/>
        </w:rPr>
      </w:pPr>
    </w:p>
    <w:p w14:paraId="71D2C6BF" w14:textId="4DC5F6B0" w:rsidR="002F378A" w:rsidRPr="006D30E6" w:rsidRDefault="002F378A" w:rsidP="00980624">
      <w:pPr>
        <w:pStyle w:val="ListParagraph"/>
        <w:ind w:left="1134"/>
        <w:jc w:val="both"/>
        <w:rPr>
          <w:rFonts w:cstheme="minorHAnsi"/>
          <w:sz w:val="24"/>
          <w:szCs w:val="24"/>
          <w:lang w:val="mi-NZ"/>
        </w:rPr>
      </w:pPr>
      <w:r w:rsidRPr="006D30E6">
        <w:rPr>
          <w:rFonts w:cstheme="minorHAnsi"/>
          <w:sz w:val="24"/>
          <w:szCs w:val="24"/>
          <w:lang w:val="mi-NZ"/>
        </w:rPr>
        <w:t xml:space="preserve">The indecent assault charge embraced a course of </w:t>
      </w:r>
      <w:r w:rsidR="00275C35" w:rsidRPr="006D30E6">
        <w:rPr>
          <w:rFonts w:cstheme="minorHAnsi"/>
          <w:sz w:val="24"/>
          <w:szCs w:val="24"/>
          <w:lang w:val="mi-NZ"/>
        </w:rPr>
        <w:t>c</w:t>
      </w:r>
      <w:r w:rsidRPr="006D30E6">
        <w:rPr>
          <w:rFonts w:cstheme="minorHAnsi"/>
          <w:sz w:val="24"/>
          <w:szCs w:val="24"/>
          <w:lang w:val="mi-NZ"/>
        </w:rPr>
        <w:t xml:space="preserve">onduct carried out by Ms Hanley, at this stage very drunk, on </w:t>
      </w:r>
      <w:r w:rsidR="006A730F" w:rsidRPr="006A730F">
        <w:rPr>
          <w:rFonts w:cstheme="minorHAnsi"/>
          <w:sz w:val="24"/>
          <w:szCs w:val="24"/>
          <w:lang w:val="mi-NZ"/>
        </w:rPr>
        <w:t>[</w:t>
      </w:r>
      <w:r w:rsidR="00482C57">
        <w:rPr>
          <w:rFonts w:cstheme="minorHAnsi"/>
          <w:sz w:val="24"/>
          <w:szCs w:val="24"/>
          <w:lang w:val="mi-NZ"/>
        </w:rPr>
        <w:t>the victim]</w:t>
      </w:r>
      <w:r w:rsidRPr="006D30E6">
        <w:rPr>
          <w:rFonts w:cstheme="minorHAnsi"/>
          <w:sz w:val="24"/>
          <w:szCs w:val="24"/>
          <w:lang w:val="mi-NZ"/>
        </w:rPr>
        <w:t>. The venue was a local bar. Having similarly but less seriously molested another</w:t>
      </w:r>
      <w:r w:rsidR="006A730F">
        <w:rPr>
          <w:rFonts w:cstheme="minorHAnsi"/>
          <w:sz w:val="24"/>
          <w:szCs w:val="24"/>
          <w:lang w:val="mi-NZ"/>
        </w:rPr>
        <w:t xml:space="preserve"> </w:t>
      </w:r>
      <w:r w:rsidR="00482C57">
        <w:rPr>
          <w:rFonts w:cstheme="minorHAnsi"/>
          <w:sz w:val="24"/>
          <w:szCs w:val="24"/>
          <w:lang w:val="mi-NZ"/>
        </w:rPr>
        <w:t>[woman]</w:t>
      </w:r>
      <w:r w:rsidRPr="006D30E6">
        <w:rPr>
          <w:rFonts w:cstheme="minorHAnsi"/>
          <w:sz w:val="24"/>
          <w:szCs w:val="24"/>
          <w:lang w:val="mi-NZ"/>
        </w:rPr>
        <w:t>, Ms Hanl</w:t>
      </w:r>
      <w:r w:rsidR="00275C35" w:rsidRPr="006D30E6">
        <w:rPr>
          <w:rFonts w:cstheme="minorHAnsi"/>
          <w:sz w:val="24"/>
          <w:szCs w:val="24"/>
          <w:lang w:val="mi-NZ"/>
        </w:rPr>
        <w:t>e</w:t>
      </w:r>
      <w:r w:rsidRPr="006D30E6">
        <w:rPr>
          <w:rFonts w:cstheme="minorHAnsi"/>
          <w:sz w:val="24"/>
          <w:szCs w:val="24"/>
          <w:lang w:val="mi-NZ"/>
        </w:rPr>
        <w:t>y approached the victim:</w:t>
      </w:r>
    </w:p>
    <w:p w14:paraId="4175F06D" w14:textId="64954E80" w:rsidR="002A48B8" w:rsidRPr="006D30E6" w:rsidRDefault="002A48B8" w:rsidP="00980624">
      <w:pPr>
        <w:pStyle w:val="ListParagraph"/>
        <w:ind w:left="1134"/>
        <w:jc w:val="both"/>
        <w:rPr>
          <w:rFonts w:cstheme="minorHAnsi"/>
          <w:sz w:val="24"/>
          <w:szCs w:val="24"/>
          <w:lang w:val="mi-NZ"/>
        </w:rPr>
      </w:pPr>
    </w:p>
    <w:p w14:paraId="4EF17A96" w14:textId="4EF36890" w:rsidR="002A48B8" w:rsidRPr="006D30E6" w:rsidRDefault="002F378A" w:rsidP="00980624">
      <w:pPr>
        <w:pStyle w:val="ListParagraph"/>
        <w:numPr>
          <w:ilvl w:val="0"/>
          <w:numId w:val="5"/>
        </w:numPr>
        <w:ind w:left="1701" w:hanging="567"/>
        <w:jc w:val="both"/>
        <w:rPr>
          <w:rFonts w:cstheme="minorHAnsi"/>
          <w:sz w:val="24"/>
          <w:szCs w:val="24"/>
          <w:lang w:val="mi-NZ"/>
        </w:rPr>
      </w:pPr>
      <w:r w:rsidRPr="006D30E6">
        <w:rPr>
          <w:rFonts w:cstheme="minorHAnsi"/>
          <w:sz w:val="24"/>
          <w:szCs w:val="24"/>
          <w:lang w:val="mi-NZ"/>
        </w:rPr>
        <w:t>She made a vulgar comment about “fingering” the victim;</w:t>
      </w:r>
    </w:p>
    <w:p w14:paraId="6AFF3181" w14:textId="77777777" w:rsidR="00275C35" w:rsidRPr="006D30E6" w:rsidRDefault="00275C35" w:rsidP="00980624">
      <w:pPr>
        <w:pStyle w:val="ListParagraph"/>
        <w:ind w:left="1701" w:hanging="567"/>
        <w:jc w:val="both"/>
        <w:rPr>
          <w:rFonts w:cstheme="minorHAnsi"/>
          <w:sz w:val="24"/>
          <w:szCs w:val="24"/>
          <w:lang w:val="mi-NZ"/>
        </w:rPr>
      </w:pPr>
    </w:p>
    <w:p w14:paraId="16F277A2" w14:textId="5B1B0FDB" w:rsidR="002F378A" w:rsidRPr="006D30E6" w:rsidRDefault="002F378A" w:rsidP="00980624">
      <w:pPr>
        <w:pStyle w:val="ListParagraph"/>
        <w:numPr>
          <w:ilvl w:val="0"/>
          <w:numId w:val="5"/>
        </w:numPr>
        <w:ind w:left="1701" w:hanging="567"/>
        <w:jc w:val="both"/>
        <w:rPr>
          <w:rFonts w:cstheme="minorHAnsi"/>
          <w:sz w:val="24"/>
          <w:szCs w:val="24"/>
          <w:lang w:val="mi-NZ"/>
        </w:rPr>
      </w:pPr>
      <w:r w:rsidRPr="006D30E6">
        <w:rPr>
          <w:rFonts w:cstheme="minorHAnsi"/>
          <w:sz w:val="24"/>
          <w:szCs w:val="24"/>
          <w:lang w:val="mi-NZ"/>
        </w:rPr>
        <w:t>She lunged at h</w:t>
      </w:r>
      <w:r w:rsidR="00275C35" w:rsidRPr="006D30E6">
        <w:rPr>
          <w:rFonts w:cstheme="minorHAnsi"/>
          <w:sz w:val="24"/>
          <w:szCs w:val="24"/>
          <w:lang w:val="mi-NZ"/>
        </w:rPr>
        <w:t>e</w:t>
      </w:r>
      <w:r w:rsidRPr="006D30E6">
        <w:rPr>
          <w:rFonts w:cstheme="minorHAnsi"/>
          <w:sz w:val="24"/>
          <w:szCs w:val="24"/>
          <w:lang w:val="mi-NZ"/>
        </w:rPr>
        <w:t>r vagina wit</w:t>
      </w:r>
      <w:r w:rsidR="00275C35" w:rsidRPr="006D30E6">
        <w:rPr>
          <w:rFonts w:cstheme="minorHAnsi"/>
          <w:sz w:val="24"/>
          <w:szCs w:val="24"/>
          <w:lang w:val="mi-NZ"/>
        </w:rPr>
        <w:t>h</w:t>
      </w:r>
      <w:r w:rsidRPr="006D30E6">
        <w:rPr>
          <w:rFonts w:cstheme="minorHAnsi"/>
          <w:sz w:val="24"/>
          <w:szCs w:val="24"/>
          <w:lang w:val="mi-NZ"/>
        </w:rPr>
        <w:t xml:space="preserve"> a move described as between a grab and a punch;</w:t>
      </w:r>
    </w:p>
    <w:p w14:paraId="792155CA" w14:textId="77777777" w:rsidR="00275C35" w:rsidRPr="006D30E6" w:rsidRDefault="00275C35" w:rsidP="00980624">
      <w:pPr>
        <w:pStyle w:val="ListParagraph"/>
        <w:ind w:left="1701" w:hanging="567"/>
        <w:rPr>
          <w:rFonts w:cstheme="minorHAnsi"/>
          <w:sz w:val="24"/>
          <w:szCs w:val="24"/>
          <w:lang w:val="mi-NZ"/>
        </w:rPr>
      </w:pPr>
    </w:p>
    <w:p w14:paraId="5B12AC68" w14:textId="6C353FC3" w:rsidR="002F378A" w:rsidRPr="006D30E6" w:rsidRDefault="002F378A" w:rsidP="00980624">
      <w:pPr>
        <w:pStyle w:val="ListParagraph"/>
        <w:numPr>
          <w:ilvl w:val="0"/>
          <w:numId w:val="5"/>
        </w:numPr>
        <w:ind w:left="1701" w:hanging="567"/>
        <w:jc w:val="both"/>
        <w:rPr>
          <w:rFonts w:cstheme="minorHAnsi"/>
          <w:sz w:val="24"/>
          <w:szCs w:val="24"/>
          <w:lang w:val="mi-NZ"/>
        </w:rPr>
      </w:pPr>
      <w:r w:rsidRPr="006D30E6">
        <w:rPr>
          <w:rFonts w:cstheme="minorHAnsi"/>
          <w:sz w:val="24"/>
          <w:szCs w:val="24"/>
          <w:lang w:val="mi-NZ"/>
        </w:rPr>
        <w:t>Told not to, Ms Hanley repeated the gesture. On both occasions she contacted the victim on her genital area, albeit over her clothing; and finally</w:t>
      </w:r>
    </w:p>
    <w:p w14:paraId="7F167E66" w14:textId="77777777" w:rsidR="00275C35" w:rsidRPr="006D30E6" w:rsidRDefault="00275C35" w:rsidP="00980624">
      <w:pPr>
        <w:pStyle w:val="ListParagraph"/>
        <w:ind w:left="1701" w:hanging="567"/>
        <w:rPr>
          <w:rFonts w:cstheme="minorHAnsi"/>
          <w:sz w:val="24"/>
          <w:szCs w:val="24"/>
          <w:lang w:val="mi-NZ"/>
        </w:rPr>
      </w:pPr>
    </w:p>
    <w:p w14:paraId="76646548" w14:textId="39EA06BE" w:rsidR="002F378A" w:rsidRPr="006D30E6" w:rsidRDefault="002F378A" w:rsidP="00980624">
      <w:pPr>
        <w:pStyle w:val="ListParagraph"/>
        <w:numPr>
          <w:ilvl w:val="0"/>
          <w:numId w:val="5"/>
        </w:numPr>
        <w:ind w:left="1701" w:hanging="567"/>
        <w:jc w:val="both"/>
        <w:rPr>
          <w:rFonts w:cstheme="minorHAnsi"/>
          <w:sz w:val="24"/>
          <w:szCs w:val="24"/>
          <w:lang w:val="mi-NZ"/>
        </w:rPr>
      </w:pPr>
      <w:r w:rsidRPr="006D30E6">
        <w:rPr>
          <w:rFonts w:cstheme="minorHAnsi"/>
          <w:sz w:val="24"/>
          <w:szCs w:val="24"/>
          <w:lang w:val="mi-NZ"/>
        </w:rPr>
        <w:t>She wrapped her arms around the victim, kissed her on the cheek and muttered about conduct she was going to do, thereby achieving a level of vulgarity that exceeded her initial comments</w:t>
      </w:r>
      <w:r w:rsidR="00D1008B" w:rsidRPr="006D30E6">
        <w:rPr>
          <w:rFonts w:cstheme="minorHAnsi"/>
          <w:sz w:val="24"/>
          <w:szCs w:val="24"/>
          <w:lang w:val="mi-NZ"/>
        </w:rPr>
        <w:t>.</w:t>
      </w:r>
      <w:r w:rsidRPr="006D30E6">
        <w:rPr>
          <w:rFonts w:cstheme="minorHAnsi"/>
          <w:sz w:val="24"/>
          <w:szCs w:val="24"/>
          <w:lang w:val="mi-NZ"/>
        </w:rPr>
        <w:t xml:space="preserve"> The District Court described the comments as consisting of “obscene and vulgar sexual things you would like to do to her.”</w:t>
      </w:r>
      <w:r w:rsidR="00275C35" w:rsidRPr="006D30E6">
        <w:rPr>
          <w:rFonts w:cstheme="minorHAnsi"/>
          <w:sz w:val="24"/>
          <w:szCs w:val="24"/>
          <w:lang w:val="mi-NZ"/>
        </w:rPr>
        <w:t>”</w:t>
      </w:r>
    </w:p>
    <w:p w14:paraId="1F9B585D" w14:textId="77777777" w:rsidR="00EF2269" w:rsidRPr="006D30E6" w:rsidRDefault="00EF2269" w:rsidP="00980624">
      <w:pPr>
        <w:pStyle w:val="ListParagraph"/>
        <w:ind w:left="1701" w:hanging="567"/>
        <w:jc w:val="both"/>
        <w:rPr>
          <w:rFonts w:cstheme="minorHAnsi"/>
          <w:sz w:val="24"/>
          <w:szCs w:val="24"/>
          <w:lang w:val="mi-NZ"/>
        </w:rPr>
      </w:pPr>
    </w:p>
    <w:p w14:paraId="79249255" w14:textId="0957B651" w:rsidR="00275C35" w:rsidRPr="006D30E6" w:rsidRDefault="00275C35" w:rsidP="00980624">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T</w:t>
      </w:r>
      <w:r w:rsidR="002F378A" w:rsidRPr="006D30E6">
        <w:rPr>
          <w:rFonts w:cstheme="minorHAnsi"/>
          <w:sz w:val="24"/>
          <w:szCs w:val="24"/>
          <w:lang w:val="mi-NZ"/>
        </w:rPr>
        <w:t xml:space="preserve">he Board </w:t>
      </w:r>
      <w:r w:rsidRPr="006D30E6">
        <w:rPr>
          <w:rFonts w:cstheme="minorHAnsi"/>
          <w:sz w:val="24"/>
          <w:szCs w:val="24"/>
          <w:lang w:val="mi-NZ"/>
        </w:rPr>
        <w:t>sought Ms Hanley’s response to the Notice of Conviction. T</w:t>
      </w:r>
      <w:r w:rsidR="002F378A" w:rsidRPr="006D30E6">
        <w:rPr>
          <w:rFonts w:cstheme="minorHAnsi"/>
          <w:sz w:val="24"/>
          <w:szCs w:val="24"/>
          <w:lang w:val="mi-NZ"/>
        </w:rPr>
        <w:t xml:space="preserve">he Agreed </w:t>
      </w:r>
      <w:r w:rsidR="00D1008B" w:rsidRPr="006D30E6">
        <w:rPr>
          <w:rFonts w:cstheme="minorHAnsi"/>
          <w:sz w:val="24"/>
          <w:szCs w:val="24"/>
          <w:lang w:val="mi-NZ"/>
        </w:rPr>
        <w:t>Summary records that she</w:t>
      </w:r>
      <w:r w:rsidRPr="006D30E6">
        <w:rPr>
          <w:rFonts w:cstheme="minorHAnsi"/>
          <w:sz w:val="24"/>
          <w:szCs w:val="24"/>
          <w:lang w:val="mi-NZ"/>
        </w:rPr>
        <w:t>:</w:t>
      </w:r>
    </w:p>
    <w:p w14:paraId="04F9E9BE" w14:textId="77777777" w:rsidR="00E630C4" w:rsidRPr="006D30E6" w:rsidRDefault="00E630C4" w:rsidP="00E630C4">
      <w:pPr>
        <w:pStyle w:val="ListParagraph"/>
        <w:jc w:val="both"/>
        <w:rPr>
          <w:rFonts w:cstheme="minorHAnsi"/>
          <w:sz w:val="24"/>
          <w:szCs w:val="24"/>
          <w:lang w:val="mi-NZ"/>
        </w:rPr>
      </w:pPr>
    </w:p>
    <w:p w14:paraId="0522BBF1" w14:textId="5BB71DC4" w:rsidR="00275C35" w:rsidRPr="006D30E6" w:rsidRDefault="00275C35" w:rsidP="00980624">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accepted that her behaviour was inappropriate and offensive;</w:t>
      </w:r>
    </w:p>
    <w:p w14:paraId="1AFDCF4F" w14:textId="77777777" w:rsidR="00275C35" w:rsidRPr="006D30E6" w:rsidRDefault="00275C35" w:rsidP="00275C35">
      <w:pPr>
        <w:pStyle w:val="ListParagraph"/>
        <w:ind w:left="1440"/>
        <w:jc w:val="both"/>
        <w:rPr>
          <w:rFonts w:cstheme="minorHAnsi"/>
          <w:sz w:val="24"/>
          <w:szCs w:val="24"/>
          <w:lang w:val="mi-NZ"/>
        </w:rPr>
      </w:pPr>
    </w:p>
    <w:p w14:paraId="1016B980" w14:textId="1606BAC8" w:rsidR="00275C35" w:rsidRPr="006D30E6" w:rsidRDefault="00275C35" w:rsidP="00980624">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t</w:t>
      </w:r>
      <w:r w:rsidR="002F378A" w:rsidRPr="006D30E6">
        <w:rPr>
          <w:rFonts w:cstheme="minorHAnsi"/>
          <w:sz w:val="24"/>
          <w:szCs w:val="24"/>
          <w:lang w:val="mi-NZ"/>
        </w:rPr>
        <w:t>ook</w:t>
      </w:r>
      <w:r w:rsidRPr="006D30E6">
        <w:rPr>
          <w:rFonts w:cstheme="minorHAnsi"/>
          <w:sz w:val="24"/>
          <w:szCs w:val="24"/>
          <w:lang w:val="mi-NZ"/>
        </w:rPr>
        <w:t xml:space="preserve"> full</w:t>
      </w:r>
      <w:r w:rsidR="002F378A" w:rsidRPr="006D30E6">
        <w:rPr>
          <w:rFonts w:cstheme="minorHAnsi"/>
          <w:sz w:val="24"/>
          <w:szCs w:val="24"/>
          <w:lang w:val="mi-NZ"/>
        </w:rPr>
        <w:t xml:space="preserve"> responsibility for her actions</w:t>
      </w:r>
      <w:r w:rsidRPr="006D30E6">
        <w:rPr>
          <w:rFonts w:cstheme="minorHAnsi"/>
          <w:sz w:val="24"/>
          <w:szCs w:val="24"/>
          <w:lang w:val="mi-NZ"/>
        </w:rPr>
        <w:t xml:space="preserve"> and did not offer excuses;</w:t>
      </w:r>
    </w:p>
    <w:p w14:paraId="578F11B4" w14:textId="77777777" w:rsidR="00275C35" w:rsidRPr="006D30E6" w:rsidRDefault="00275C35" w:rsidP="00980624">
      <w:pPr>
        <w:pStyle w:val="ListParagraph"/>
        <w:ind w:left="1701" w:hanging="567"/>
        <w:rPr>
          <w:rFonts w:cstheme="minorHAnsi"/>
          <w:sz w:val="24"/>
          <w:szCs w:val="24"/>
          <w:lang w:val="mi-NZ"/>
        </w:rPr>
      </w:pPr>
    </w:p>
    <w:p w14:paraId="02897CD8" w14:textId="0655DAA4" w:rsidR="00275C35" w:rsidRPr="006D30E6" w:rsidRDefault="002F378A" w:rsidP="00980624">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 xml:space="preserve">expressed her </w:t>
      </w:r>
      <w:r w:rsidR="00D1008B" w:rsidRPr="006D30E6">
        <w:rPr>
          <w:rFonts w:cstheme="minorHAnsi"/>
          <w:sz w:val="24"/>
          <w:szCs w:val="24"/>
          <w:lang w:val="mi-NZ"/>
        </w:rPr>
        <w:t>“</w:t>
      </w:r>
      <w:r w:rsidRPr="006D30E6">
        <w:rPr>
          <w:rFonts w:cstheme="minorHAnsi"/>
          <w:sz w:val="24"/>
          <w:szCs w:val="24"/>
          <w:lang w:val="mi-NZ"/>
        </w:rPr>
        <w:t>embarrassment, humiliation, disgust and disappointment</w:t>
      </w:r>
      <w:r w:rsidR="00D1008B" w:rsidRPr="006D30E6">
        <w:rPr>
          <w:rFonts w:cstheme="minorHAnsi"/>
          <w:sz w:val="24"/>
          <w:szCs w:val="24"/>
          <w:lang w:val="mi-NZ"/>
        </w:rPr>
        <w:t>”</w:t>
      </w:r>
      <w:r w:rsidRPr="006D30E6">
        <w:rPr>
          <w:rFonts w:cstheme="minorHAnsi"/>
          <w:sz w:val="24"/>
          <w:szCs w:val="24"/>
          <w:lang w:val="mi-NZ"/>
        </w:rPr>
        <w:t xml:space="preserve"> at what had occurred</w:t>
      </w:r>
      <w:r w:rsidR="00F76FCF">
        <w:rPr>
          <w:rFonts w:cstheme="minorHAnsi"/>
          <w:sz w:val="24"/>
          <w:szCs w:val="24"/>
          <w:lang w:val="mi-NZ"/>
        </w:rPr>
        <w:t>;</w:t>
      </w:r>
    </w:p>
    <w:p w14:paraId="6F8727D5" w14:textId="77777777" w:rsidR="00275C35" w:rsidRPr="006D30E6" w:rsidRDefault="00275C35" w:rsidP="00980624">
      <w:pPr>
        <w:pStyle w:val="ListParagraph"/>
        <w:ind w:left="1701" w:hanging="567"/>
        <w:rPr>
          <w:rFonts w:cstheme="minorHAnsi"/>
          <w:sz w:val="24"/>
          <w:szCs w:val="24"/>
          <w:lang w:val="mi-NZ"/>
        </w:rPr>
      </w:pPr>
    </w:p>
    <w:p w14:paraId="3235351D" w14:textId="26B16846" w:rsidR="002F378A" w:rsidRPr="006D30E6" w:rsidRDefault="00275C35" w:rsidP="00980624">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 xml:space="preserve">Acknowledged the </w:t>
      </w:r>
      <w:r w:rsidR="002F378A" w:rsidRPr="006D30E6">
        <w:rPr>
          <w:rFonts w:cstheme="minorHAnsi"/>
          <w:sz w:val="24"/>
          <w:szCs w:val="24"/>
          <w:lang w:val="mi-NZ"/>
        </w:rPr>
        <w:t>role of alcohol and binge drinking in her conduct</w:t>
      </w:r>
      <w:r w:rsidR="00F76FCF">
        <w:rPr>
          <w:rFonts w:cstheme="minorHAnsi"/>
          <w:sz w:val="24"/>
          <w:szCs w:val="24"/>
          <w:lang w:val="mi-NZ"/>
        </w:rPr>
        <w:t>;</w:t>
      </w:r>
    </w:p>
    <w:p w14:paraId="4BF63F03" w14:textId="77777777" w:rsidR="00275C35" w:rsidRPr="006D30E6" w:rsidRDefault="00275C35" w:rsidP="00980624">
      <w:pPr>
        <w:pStyle w:val="ListParagraph"/>
        <w:ind w:left="1701" w:hanging="567"/>
        <w:rPr>
          <w:rFonts w:cstheme="minorHAnsi"/>
          <w:sz w:val="24"/>
          <w:szCs w:val="24"/>
          <w:lang w:val="mi-NZ"/>
        </w:rPr>
      </w:pPr>
    </w:p>
    <w:p w14:paraId="524FA80B" w14:textId="54E3BB14" w:rsidR="002F378A" w:rsidRPr="006D30E6" w:rsidRDefault="002F378A" w:rsidP="00980624">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 xml:space="preserve">recognised that her behaviour had fallen short of the </w:t>
      </w:r>
      <w:r w:rsidR="00D1008B" w:rsidRPr="006D30E6">
        <w:rPr>
          <w:rFonts w:cstheme="minorHAnsi"/>
          <w:sz w:val="24"/>
          <w:szCs w:val="24"/>
          <w:lang w:val="mi-NZ"/>
        </w:rPr>
        <w:t>c</w:t>
      </w:r>
      <w:r w:rsidRPr="006D30E6">
        <w:rPr>
          <w:rFonts w:cstheme="minorHAnsi"/>
          <w:sz w:val="24"/>
          <w:szCs w:val="24"/>
          <w:lang w:val="mi-NZ"/>
        </w:rPr>
        <w:t xml:space="preserve">onduct expected of a social worker and the consequential impact that had on her employer, </w:t>
      </w:r>
      <w:r w:rsidR="008B0456">
        <w:rPr>
          <w:rFonts w:cstheme="minorHAnsi"/>
          <w:sz w:val="24"/>
          <w:szCs w:val="24"/>
          <w:lang w:val="mi-NZ"/>
        </w:rPr>
        <w:t>[the victim]</w:t>
      </w:r>
      <w:r w:rsidRPr="006D30E6">
        <w:rPr>
          <w:rFonts w:cstheme="minorHAnsi"/>
          <w:sz w:val="24"/>
          <w:szCs w:val="24"/>
          <w:lang w:val="mi-NZ"/>
        </w:rPr>
        <w:t>, the profession, and her family.</w:t>
      </w:r>
    </w:p>
    <w:p w14:paraId="66A58C23" w14:textId="77777777" w:rsidR="00D1008B" w:rsidRPr="006D30E6" w:rsidRDefault="00D1008B" w:rsidP="00D1008B">
      <w:pPr>
        <w:pStyle w:val="ListParagraph"/>
        <w:ind w:left="1440"/>
        <w:jc w:val="both"/>
        <w:rPr>
          <w:rFonts w:cstheme="minorHAnsi"/>
          <w:sz w:val="24"/>
          <w:szCs w:val="24"/>
          <w:lang w:val="mi-NZ"/>
        </w:rPr>
      </w:pPr>
    </w:p>
    <w:p w14:paraId="5827C6E8" w14:textId="60DE33FD" w:rsidR="005F4FC1" w:rsidRPr="006D30E6" w:rsidRDefault="00EF2269" w:rsidP="00980624">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 xml:space="preserve">The </w:t>
      </w:r>
      <w:r w:rsidR="00275C35" w:rsidRPr="006D30E6">
        <w:rPr>
          <w:rFonts w:cstheme="minorHAnsi"/>
          <w:sz w:val="24"/>
          <w:szCs w:val="24"/>
          <w:lang w:val="mi-NZ"/>
        </w:rPr>
        <w:t xml:space="preserve">Agreed Summary goes on to record </w:t>
      </w:r>
      <w:r w:rsidR="00E630C4" w:rsidRPr="006D30E6">
        <w:rPr>
          <w:rFonts w:cstheme="minorHAnsi"/>
          <w:sz w:val="24"/>
          <w:szCs w:val="24"/>
          <w:lang w:val="mi-NZ"/>
        </w:rPr>
        <w:t>Ms Hanely’s co-operation with the PCC, including meeting with the PCC and acknowledging re</w:t>
      </w:r>
      <w:r w:rsidR="005F4FC1" w:rsidRPr="006D30E6">
        <w:rPr>
          <w:rFonts w:cstheme="minorHAnsi"/>
          <w:sz w:val="24"/>
          <w:szCs w:val="24"/>
          <w:lang w:val="mi-NZ"/>
        </w:rPr>
        <w:t>s</w:t>
      </w:r>
      <w:r w:rsidR="00E630C4" w:rsidRPr="006D30E6">
        <w:rPr>
          <w:rFonts w:cstheme="minorHAnsi"/>
          <w:sz w:val="24"/>
          <w:szCs w:val="24"/>
          <w:lang w:val="mi-NZ"/>
        </w:rPr>
        <w:t xml:space="preserve">ponsibility for the offending as well as </w:t>
      </w:r>
      <w:r w:rsidR="005F4FC1" w:rsidRPr="006D30E6">
        <w:rPr>
          <w:rFonts w:cstheme="minorHAnsi"/>
          <w:sz w:val="24"/>
          <w:szCs w:val="24"/>
          <w:lang w:val="mi-NZ"/>
        </w:rPr>
        <w:t>outlining</w:t>
      </w:r>
      <w:r w:rsidR="00E630C4" w:rsidRPr="006D30E6">
        <w:rPr>
          <w:rFonts w:cstheme="minorHAnsi"/>
          <w:sz w:val="24"/>
          <w:szCs w:val="24"/>
          <w:lang w:val="mi-NZ"/>
        </w:rPr>
        <w:t xml:space="preserve"> positive changes she ha</w:t>
      </w:r>
      <w:r w:rsidR="005F4FC1" w:rsidRPr="006D30E6">
        <w:rPr>
          <w:rFonts w:cstheme="minorHAnsi"/>
          <w:sz w:val="24"/>
          <w:szCs w:val="24"/>
          <w:lang w:val="mi-NZ"/>
        </w:rPr>
        <w:t>s</w:t>
      </w:r>
      <w:r w:rsidR="00E630C4" w:rsidRPr="006D30E6">
        <w:rPr>
          <w:rFonts w:cstheme="minorHAnsi"/>
          <w:sz w:val="24"/>
          <w:szCs w:val="24"/>
          <w:lang w:val="mi-NZ"/>
        </w:rPr>
        <w:t xml:space="preserve"> made. Ms Hanley’s self-report was supported by information from her General Practitioner Dr Helen Perez and her psychologist Emma Aiken. </w:t>
      </w:r>
      <w:r w:rsidR="005F4FC1" w:rsidRPr="006D30E6">
        <w:rPr>
          <w:rFonts w:cstheme="minorHAnsi"/>
          <w:sz w:val="24"/>
          <w:szCs w:val="24"/>
          <w:lang w:val="mi-NZ"/>
        </w:rPr>
        <w:t xml:space="preserve">Ms Aiken confirmed to the PCC </w:t>
      </w:r>
      <w:r w:rsidR="003F4CD8" w:rsidRPr="006D30E6">
        <w:rPr>
          <w:rFonts w:cstheme="minorHAnsi"/>
          <w:sz w:val="24"/>
          <w:szCs w:val="24"/>
          <w:lang w:val="mi-NZ"/>
        </w:rPr>
        <w:t xml:space="preserve">on 31 July 2020 </w:t>
      </w:r>
      <w:r w:rsidR="005F4FC1" w:rsidRPr="006D30E6">
        <w:rPr>
          <w:rFonts w:cstheme="minorHAnsi"/>
          <w:sz w:val="24"/>
          <w:szCs w:val="24"/>
          <w:lang w:val="mi-NZ"/>
        </w:rPr>
        <w:t xml:space="preserve">Ms Hanley’s acceptance that excessive alcohol use was the cause of her offending, and that she recognised faulty </w:t>
      </w:r>
      <w:r w:rsidR="005F4FC1" w:rsidRPr="006D30E6">
        <w:rPr>
          <w:rFonts w:cstheme="minorHAnsi"/>
          <w:sz w:val="24"/>
          <w:szCs w:val="24"/>
          <w:lang w:val="mi-NZ"/>
        </w:rPr>
        <w:lastRenderedPageBreak/>
        <w:t xml:space="preserve">beliefs around the acceptability of excessive alcohol use and alcohol related negative behaviour and has been able to criticially examine </w:t>
      </w:r>
      <w:r w:rsidR="003F4CD8" w:rsidRPr="006D30E6">
        <w:rPr>
          <w:rFonts w:cstheme="minorHAnsi"/>
          <w:sz w:val="24"/>
          <w:szCs w:val="24"/>
          <w:lang w:val="mi-NZ"/>
        </w:rPr>
        <w:t>her behaviours and attitudes.</w:t>
      </w:r>
      <w:r w:rsidR="003F4CD8" w:rsidRPr="006D30E6">
        <w:rPr>
          <w:rStyle w:val="FootnoteReference"/>
          <w:rFonts w:cstheme="minorHAnsi"/>
          <w:sz w:val="24"/>
          <w:szCs w:val="24"/>
          <w:lang w:val="mi-NZ"/>
        </w:rPr>
        <w:footnoteReference w:id="4"/>
      </w:r>
      <w:r w:rsidR="003F4CD8" w:rsidRPr="006D30E6">
        <w:rPr>
          <w:rFonts w:cstheme="minorHAnsi"/>
          <w:sz w:val="24"/>
          <w:szCs w:val="24"/>
          <w:lang w:val="mi-NZ"/>
        </w:rPr>
        <w:t xml:space="preserve"> </w:t>
      </w:r>
    </w:p>
    <w:p w14:paraId="5C56E621" w14:textId="77777777" w:rsidR="005F4FC1" w:rsidRPr="006D30E6" w:rsidRDefault="005F4FC1" w:rsidP="00980624">
      <w:pPr>
        <w:pStyle w:val="ListParagraph"/>
        <w:ind w:left="567" w:hanging="567"/>
        <w:jc w:val="both"/>
        <w:rPr>
          <w:rFonts w:cstheme="minorHAnsi"/>
          <w:sz w:val="24"/>
          <w:szCs w:val="24"/>
          <w:lang w:val="mi-NZ"/>
        </w:rPr>
      </w:pPr>
    </w:p>
    <w:p w14:paraId="1D7CCCB6" w14:textId="2A715071" w:rsidR="00E630C4" w:rsidRPr="006D30E6" w:rsidRDefault="00E630C4" w:rsidP="00980624">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The</w:t>
      </w:r>
      <w:r w:rsidR="000964C3" w:rsidRPr="006D30E6">
        <w:rPr>
          <w:rFonts w:cstheme="minorHAnsi"/>
          <w:sz w:val="24"/>
          <w:szCs w:val="24"/>
          <w:lang w:val="mi-NZ"/>
        </w:rPr>
        <w:t xml:space="preserve"> Agreed</w:t>
      </w:r>
      <w:r w:rsidRPr="006D30E6">
        <w:rPr>
          <w:rFonts w:cstheme="minorHAnsi"/>
          <w:sz w:val="24"/>
          <w:szCs w:val="24"/>
          <w:lang w:val="mi-NZ"/>
        </w:rPr>
        <w:t xml:space="preserve"> Summary concludes:</w:t>
      </w:r>
    </w:p>
    <w:p w14:paraId="023A7389" w14:textId="176F108F" w:rsidR="00E630C4" w:rsidRPr="006D30E6" w:rsidRDefault="00E630C4" w:rsidP="00980624">
      <w:pPr>
        <w:pStyle w:val="ListParagraph"/>
        <w:ind w:left="567" w:hanging="567"/>
        <w:jc w:val="both"/>
        <w:rPr>
          <w:rFonts w:cstheme="minorHAnsi"/>
          <w:sz w:val="24"/>
          <w:szCs w:val="24"/>
          <w:lang w:val="mi-NZ"/>
        </w:rPr>
      </w:pPr>
    </w:p>
    <w:p w14:paraId="1ADB03DD" w14:textId="3306B06B" w:rsidR="00E630C4" w:rsidRPr="006D30E6" w:rsidRDefault="00E630C4" w:rsidP="00980624">
      <w:pPr>
        <w:pStyle w:val="ListParagraph"/>
        <w:ind w:left="1134"/>
        <w:jc w:val="both"/>
        <w:rPr>
          <w:rFonts w:cstheme="minorHAnsi"/>
          <w:sz w:val="24"/>
          <w:szCs w:val="24"/>
          <w:lang w:val="mi-NZ"/>
        </w:rPr>
      </w:pPr>
      <w:r w:rsidRPr="006D30E6">
        <w:rPr>
          <w:rFonts w:cstheme="minorHAnsi"/>
          <w:sz w:val="24"/>
          <w:szCs w:val="24"/>
          <w:lang w:val="mi-NZ"/>
        </w:rPr>
        <w:t>“</w:t>
      </w:r>
      <w:r w:rsidR="004A7066" w:rsidRPr="006D30E6">
        <w:rPr>
          <w:rFonts w:cstheme="minorHAnsi"/>
          <w:sz w:val="24"/>
          <w:szCs w:val="24"/>
          <w:lang w:val="mi-NZ"/>
        </w:rPr>
        <w:t>T</w:t>
      </w:r>
      <w:r w:rsidRPr="006D30E6">
        <w:rPr>
          <w:rFonts w:cstheme="minorHAnsi"/>
          <w:sz w:val="24"/>
          <w:szCs w:val="24"/>
          <w:lang w:val="mi-NZ"/>
        </w:rPr>
        <w:t>he P</w:t>
      </w:r>
      <w:r w:rsidR="004A7066" w:rsidRPr="006D30E6">
        <w:rPr>
          <w:rFonts w:cstheme="minorHAnsi"/>
          <w:sz w:val="24"/>
          <w:szCs w:val="24"/>
          <w:lang w:val="mi-NZ"/>
        </w:rPr>
        <w:t>C</w:t>
      </w:r>
      <w:r w:rsidRPr="006D30E6">
        <w:rPr>
          <w:rFonts w:cstheme="minorHAnsi"/>
          <w:sz w:val="24"/>
          <w:szCs w:val="24"/>
          <w:lang w:val="mi-NZ"/>
        </w:rPr>
        <w:t>C recognised that Ms Hanley had taken positive steps since being convicted, and noted that she pres</w:t>
      </w:r>
      <w:r w:rsidR="000964C3" w:rsidRPr="006D30E6">
        <w:rPr>
          <w:rFonts w:cstheme="minorHAnsi"/>
          <w:sz w:val="24"/>
          <w:szCs w:val="24"/>
          <w:lang w:val="mi-NZ"/>
        </w:rPr>
        <w:t>e</w:t>
      </w:r>
      <w:r w:rsidRPr="006D30E6">
        <w:rPr>
          <w:rFonts w:cstheme="minorHAnsi"/>
          <w:sz w:val="24"/>
          <w:szCs w:val="24"/>
          <w:lang w:val="mi-NZ"/>
        </w:rPr>
        <w:t>nted as insightful, intelligent and honest. The PCC further noted that Ms Hanley was co-operative with its investigation and accepted full responsibility for her offending.”</w:t>
      </w:r>
    </w:p>
    <w:p w14:paraId="68E924B0" w14:textId="77777777" w:rsidR="00ED400D" w:rsidRPr="006D30E6" w:rsidRDefault="00ED400D" w:rsidP="00B91164">
      <w:pPr>
        <w:pStyle w:val="ListParagraph"/>
        <w:jc w:val="both"/>
        <w:rPr>
          <w:rFonts w:cstheme="minorHAnsi"/>
          <w:sz w:val="24"/>
          <w:szCs w:val="24"/>
          <w:lang w:val="mi-NZ"/>
        </w:rPr>
      </w:pPr>
    </w:p>
    <w:p w14:paraId="60697A04" w14:textId="7B849807" w:rsidR="00D30415" w:rsidRPr="006D30E6" w:rsidRDefault="00D1008B" w:rsidP="00980624">
      <w:pPr>
        <w:pStyle w:val="ListParagraph"/>
        <w:ind w:left="567" w:hanging="567"/>
        <w:jc w:val="both"/>
        <w:rPr>
          <w:rFonts w:cstheme="minorHAnsi"/>
          <w:b/>
          <w:bCs/>
          <w:sz w:val="24"/>
          <w:szCs w:val="24"/>
          <w:lang w:val="mi-NZ"/>
        </w:rPr>
      </w:pPr>
      <w:r w:rsidRPr="006D30E6">
        <w:rPr>
          <w:rFonts w:cstheme="minorHAnsi"/>
          <w:b/>
          <w:bCs/>
          <w:sz w:val="24"/>
          <w:szCs w:val="24"/>
          <w:lang w:val="mi-NZ"/>
        </w:rPr>
        <w:t>Liability</w:t>
      </w:r>
    </w:p>
    <w:p w14:paraId="7BB25EDD" w14:textId="77777777" w:rsidR="005970C2" w:rsidRPr="006D30E6" w:rsidRDefault="005970C2" w:rsidP="00980624">
      <w:pPr>
        <w:pStyle w:val="ListParagraph"/>
        <w:ind w:left="567" w:hanging="567"/>
        <w:jc w:val="both"/>
        <w:rPr>
          <w:rFonts w:cstheme="minorHAnsi"/>
          <w:sz w:val="24"/>
          <w:szCs w:val="24"/>
          <w:lang w:val="mi-NZ"/>
        </w:rPr>
      </w:pPr>
    </w:p>
    <w:p w14:paraId="184F9B93" w14:textId="586CFBD8" w:rsidR="00251C83" w:rsidRPr="006D30E6" w:rsidRDefault="00D1008B" w:rsidP="00980624">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 xml:space="preserve">The Tribunal had no difficulty in finding the first part of the charge made out. There was </w:t>
      </w:r>
      <w:r w:rsidR="003F4CD8" w:rsidRPr="006D30E6">
        <w:rPr>
          <w:rFonts w:cstheme="minorHAnsi"/>
          <w:sz w:val="24"/>
          <w:szCs w:val="24"/>
          <w:lang w:val="mi-NZ"/>
        </w:rPr>
        <w:t>clear</w:t>
      </w:r>
      <w:r w:rsidRPr="006D30E6">
        <w:rPr>
          <w:rFonts w:cstheme="minorHAnsi"/>
          <w:sz w:val="24"/>
          <w:szCs w:val="24"/>
          <w:lang w:val="mi-NZ"/>
        </w:rPr>
        <w:t xml:space="preserve"> evidence </w:t>
      </w:r>
      <w:r w:rsidR="003F4CD8" w:rsidRPr="006D30E6">
        <w:rPr>
          <w:rFonts w:cstheme="minorHAnsi"/>
          <w:sz w:val="24"/>
          <w:szCs w:val="24"/>
          <w:lang w:val="mi-NZ"/>
        </w:rPr>
        <w:t xml:space="preserve">that Ms Hanley was convicted of a qualifying offence </w:t>
      </w:r>
      <w:r w:rsidRPr="006D30E6">
        <w:rPr>
          <w:rFonts w:cstheme="minorHAnsi"/>
          <w:sz w:val="24"/>
          <w:szCs w:val="24"/>
          <w:lang w:val="mi-NZ"/>
        </w:rPr>
        <w:t xml:space="preserve">by way of the </w:t>
      </w:r>
      <w:r w:rsidR="00E630C4" w:rsidRPr="006D30E6">
        <w:rPr>
          <w:rFonts w:cstheme="minorHAnsi"/>
          <w:sz w:val="24"/>
          <w:szCs w:val="24"/>
          <w:lang w:val="mi-NZ"/>
        </w:rPr>
        <w:t xml:space="preserve">notices from the court </w:t>
      </w:r>
      <w:r w:rsidR="000964C3" w:rsidRPr="006D30E6">
        <w:rPr>
          <w:rFonts w:cstheme="minorHAnsi"/>
          <w:sz w:val="24"/>
          <w:szCs w:val="24"/>
          <w:lang w:val="mi-NZ"/>
        </w:rPr>
        <w:t xml:space="preserve">registry </w:t>
      </w:r>
      <w:r w:rsidR="00E630C4" w:rsidRPr="006D30E6">
        <w:rPr>
          <w:rFonts w:cstheme="minorHAnsi"/>
          <w:sz w:val="24"/>
          <w:szCs w:val="24"/>
          <w:lang w:val="mi-NZ"/>
        </w:rPr>
        <w:t xml:space="preserve">and the court judgments. Section 135 of the Crimes Act is a qualifying offence with a maximum period of 7 years imprisonment. </w:t>
      </w:r>
      <w:r w:rsidR="006E7D68" w:rsidRPr="006D30E6">
        <w:rPr>
          <w:rFonts w:cstheme="minorHAnsi"/>
          <w:sz w:val="24"/>
          <w:szCs w:val="24"/>
          <w:lang w:val="mi-NZ"/>
        </w:rPr>
        <w:t>The</w:t>
      </w:r>
      <w:r w:rsidR="00E630C4" w:rsidRPr="006D30E6">
        <w:rPr>
          <w:rFonts w:cstheme="minorHAnsi"/>
          <w:sz w:val="24"/>
          <w:szCs w:val="24"/>
          <w:lang w:val="mi-NZ"/>
        </w:rPr>
        <w:t xml:space="preserve"> fact that the actual </w:t>
      </w:r>
      <w:r w:rsidR="006E7D68" w:rsidRPr="006D30E6">
        <w:rPr>
          <w:rFonts w:cstheme="minorHAnsi"/>
          <w:sz w:val="24"/>
          <w:szCs w:val="24"/>
          <w:lang w:val="mi-NZ"/>
        </w:rPr>
        <w:t xml:space="preserve"> sentence imposed was payment of reparation in the sum of $1500 and a period of 12 months supervision</w:t>
      </w:r>
      <w:r w:rsidR="00E630C4" w:rsidRPr="006D30E6">
        <w:rPr>
          <w:rFonts w:cstheme="minorHAnsi"/>
          <w:sz w:val="24"/>
          <w:szCs w:val="24"/>
          <w:lang w:val="mi-NZ"/>
        </w:rPr>
        <w:t>, reduced to 6</w:t>
      </w:r>
      <w:r w:rsidR="006E7D68" w:rsidRPr="006D30E6">
        <w:rPr>
          <w:rFonts w:cstheme="minorHAnsi"/>
          <w:sz w:val="24"/>
          <w:szCs w:val="24"/>
          <w:lang w:val="mi-NZ"/>
        </w:rPr>
        <w:t xml:space="preserve"> months on appeal</w:t>
      </w:r>
      <w:r w:rsidR="00E630C4" w:rsidRPr="006D30E6">
        <w:rPr>
          <w:rFonts w:cstheme="minorHAnsi"/>
          <w:sz w:val="24"/>
          <w:szCs w:val="24"/>
          <w:lang w:val="mi-NZ"/>
        </w:rPr>
        <w:t xml:space="preserve">, does not have any bearing on whether s 82(1)(c)(i) is </w:t>
      </w:r>
      <w:r w:rsidR="003F4CD8" w:rsidRPr="006D30E6">
        <w:rPr>
          <w:rFonts w:cstheme="minorHAnsi"/>
          <w:sz w:val="24"/>
          <w:szCs w:val="24"/>
          <w:lang w:val="mi-NZ"/>
        </w:rPr>
        <w:t>made out</w:t>
      </w:r>
      <w:r w:rsidR="006E7D68" w:rsidRPr="006D30E6">
        <w:rPr>
          <w:rFonts w:cstheme="minorHAnsi"/>
          <w:sz w:val="24"/>
          <w:szCs w:val="24"/>
          <w:lang w:val="mi-NZ"/>
        </w:rPr>
        <w:t>.</w:t>
      </w:r>
    </w:p>
    <w:p w14:paraId="61ED8325" w14:textId="77777777" w:rsidR="006E7D68" w:rsidRPr="006D30E6" w:rsidRDefault="006E7D68" w:rsidP="00980624">
      <w:pPr>
        <w:pStyle w:val="ListParagraph"/>
        <w:ind w:left="567" w:hanging="567"/>
        <w:jc w:val="both"/>
        <w:rPr>
          <w:rFonts w:cstheme="minorHAnsi"/>
          <w:sz w:val="24"/>
          <w:szCs w:val="24"/>
          <w:lang w:val="mi-NZ"/>
        </w:rPr>
      </w:pPr>
    </w:p>
    <w:p w14:paraId="1A3C9640" w14:textId="2E8A02E0" w:rsidR="006E7D68" w:rsidRPr="006D30E6" w:rsidRDefault="00E630C4" w:rsidP="00980624">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With regard to s 82(1)(c)</w:t>
      </w:r>
      <w:r w:rsidR="000964C3" w:rsidRPr="006D30E6">
        <w:rPr>
          <w:rFonts w:cstheme="minorHAnsi"/>
          <w:sz w:val="24"/>
          <w:szCs w:val="24"/>
          <w:lang w:val="mi-NZ"/>
        </w:rPr>
        <w:t>(</w:t>
      </w:r>
      <w:r w:rsidRPr="006D30E6">
        <w:rPr>
          <w:rFonts w:cstheme="minorHAnsi"/>
          <w:sz w:val="24"/>
          <w:szCs w:val="24"/>
          <w:lang w:val="mi-NZ"/>
        </w:rPr>
        <w:t xml:space="preserve">ii) the </w:t>
      </w:r>
      <w:r w:rsidR="006E7D68" w:rsidRPr="006D30E6">
        <w:rPr>
          <w:rFonts w:cstheme="minorHAnsi"/>
          <w:sz w:val="24"/>
          <w:szCs w:val="24"/>
          <w:lang w:val="mi-NZ"/>
        </w:rPr>
        <w:t>PCC submitted that viewed objectively, the circumstances leading to Ms Hanley’s conviction reflect adversely on her fitness to practi</w:t>
      </w:r>
      <w:r w:rsidR="00C5674A" w:rsidRPr="006D30E6">
        <w:rPr>
          <w:rFonts w:cstheme="minorHAnsi"/>
          <w:sz w:val="24"/>
          <w:szCs w:val="24"/>
          <w:lang w:val="mi-NZ"/>
        </w:rPr>
        <w:t>s</w:t>
      </w:r>
      <w:r w:rsidR="006E7D68" w:rsidRPr="006D30E6">
        <w:rPr>
          <w:rFonts w:cstheme="minorHAnsi"/>
          <w:sz w:val="24"/>
          <w:szCs w:val="24"/>
          <w:lang w:val="mi-NZ"/>
        </w:rPr>
        <w:t>e because:</w:t>
      </w:r>
    </w:p>
    <w:p w14:paraId="04DBD1D7" w14:textId="77777777" w:rsidR="00AA339D" w:rsidRPr="006D30E6" w:rsidRDefault="00AA339D" w:rsidP="00980624">
      <w:pPr>
        <w:pStyle w:val="ListParagraph"/>
        <w:ind w:left="567" w:hanging="567"/>
        <w:jc w:val="both"/>
        <w:rPr>
          <w:rFonts w:cstheme="minorHAnsi"/>
          <w:sz w:val="24"/>
          <w:szCs w:val="24"/>
          <w:lang w:val="mi-NZ"/>
        </w:rPr>
      </w:pPr>
    </w:p>
    <w:p w14:paraId="1DC5247B" w14:textId="34083DFB" w:rsidR="006E7D68" w:rsidRPr="006D30E6" w:rsidRDefault="000964C3" w:rsidP="00980624">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the offending</w:t>
      </w:r>
      <w:r w:rsidR="006E7D68" w:rsidRPr="006D30E6">
        <w:rPr>
          <w:rFonts w:cstheme="minorHAnsi"/>
          <w:sz w:val="24"/>
          <w:szCs w:val="24"/>
          <w:lang w:val="mi-NZ"/>
        </w:rPr>
        <w:t xml:space="preserve"> occured in the context of her socialising with a number of other social wor</w:t>
      </w:r>
      <w:r w:rsidR="00E630C4" w:rsidRPr="006D30E6">
        <w:rPr>
          <w:rFonts w:cstheme="minorHAnsi"/>
          <w:sz w:val="24"/>
          <w:szCs w:val="24"/>
          <w:lang w:val="mi-NZ"/>
        </w:rPr>
        <w:t>k</w:t>
      </w:r>
      <w:r w:rsidR="006E7D68" w:rsidRPr="006D30E6">
        <w:rPr>
          <w:rFonts w:cstheme="minorHAnsi"/>
          <w:sz w:val="24"/>
          <w:szCs w:val="24"/>
          <w:lang w:val="mi-NZ"/>
        </w:rPr>
        <w:t>ers in a public venue;</w:t>
      </w:r>
    </w:p>
    <w:p w14:paraId="5E980A0E" w14:textId="77777777" w:rsidR="003569C0" w:rsidRPr="006D30E6" w:rsidRDefault="003569C0" w:rsidP="00980624">
      <w:pPr>
        <w:pStyle w:val="ListParagraph"/>
        <w:ind w:left="1701" w:hanging="567"/>
        <w:jc w:val="both"/>
        <w:rPr>
          <w:rFonts w:cstheme="minorHAnsi"/>
          <w:sz w:val="24"/>
          <w:szCs w:val="24"/>
          <w:lang w:val="mi-NZ"/>
        </w:rPr>
      </w:pPr>
    </w:p>
    <w:p w14:paraId="11C28E78" w14:textId="09CC3249" w:rsidR="006E7D68" w:rsidRPr="006D30E6" w:rsidRDefault="006E7D68" w:rsidP="00980624">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Ms Hanley was in a supervisory role;</w:t>
      </w:r>
    </w:p>
    <w:p w14:paraId="52BE0C3A" w14:textId="77777777" w:rsidR="003569C0" w:rsidRPr="006D30E6" w:rsidRDefault="003569C0" w:rsidP="00980624">
      <w:pPr>
        <w:pStyle w:val="ListParagraph"/>
        <w:ind w:left="1701" w:hanging="567"/>
        <w:jc w:val="both"/>
        <w:rPr>
          <w:rFonts w:cstheme="minorHAnsi"/>
          <w:sz w:val="24"/>
          <w:szCs w:val="24"/>
          <w:lang w:val="mi-NZ"/>
        </w:rPr>
      </w:pPr>
    </w:p>
    <w:p w14:paraId="7288AEED" w14:textId="17D27ADB" w:rsidR="006E7D68" w:rsidRPr="006D30E6" w:rsidRDefault="00E630C4" w:rsidP="00980624">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t</w:t>
      </w:r>
      <w:r w:rsidR="006E7D68" w:rsidRPr="006D30E6">
        <w:rPr>
          <w:rFonts w:cstheme="minorHAnsi"/>
          <w:sz w:val="24"/>
          <w:szCs w:val="24"/>
          <w:lang w:val="mi-NZ"/>
        </w:rPr>
        <w:t>he conduct is inherently inconsistent with that expected of a practitioner acting in compliance with the standards normally observed by those who are fit to practise social work</w:t>
      </w:r>
      <w:r w:rsidR="00AA339D" w:rsidRPr="006D30E6">
        <w:rPr>
          <w:rFonts w:cstheme="minorHAnsi"/>
          <w:sz w:val="24"/>
          <w:szCs w:val="24"/>
          <w:lang w:val="mi-NZ"/>
        </w:rPr>
        <w:t>;</w:t>
      </w:r>
    </w:p>
    <w:p w14:paraId="6C6C4F9A" w14:textId="77777777" w:rsidR="003569C0" w:rsidRPr="006D30E6" w:rsidRDefault="003569C0" w:rsidP="00980624">
      <w:pPr>
        <w:pStyle w:val="ListParagraph"/>
        <w:ind w:left="1701" w:hanging="567"/>
        <w:jc w:val="both"/>
        <w:rPr>
          <w:rFonts w:cstheme="minorHAnsi"/>
          <w:sz w:val="24"/>
          <w:szCs w:val="24"/>
          <w:lang w:val="mi-NZ"/>
        </w:rPr>
      </w:pPr>
    </w:p>
    <w:p w14:paraId="30D932A1" w14:textId="406EF1C2" w:rsidR="00AA339D" w:rsidRPr="006D30E6" w:rsidRDefault="00E630C4" w:rsidP="00980624">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m</w:t>
      </w:r>
      <w:r w:rsidR="00AA339D" w:rsidRPr="006D30E6">
        <w:rPr>
          <w:rFonts w:cstheme="minorHAnsi"/>
          <w:sz w:val="24"/>
          <w:szCs w:val="24"/>
          <w:lang w:val="mi-NZ"/>
        </w:rPr>
        <w:t xml:space="preserve">easured against principles 1 and 9 </w:t>
      </w:r>
      <w:r w:rsidR="003F4CD8" w:rsidRPr="006D30E6">
        <w:rPr>
          <w:rFonts w:cstheme="minorHAnsi"/>
          <w:sz w:val="24"/>
          <w:szCs w:val="24"/>
          <w:lang w:val="mi-NZ"/>
        </w:rPr>
        <w:t xml:space="preserve">of the Code of Conduct </w:t>
      </w:r>
      <w:r w:rsidR="00AA339D" w:rsidRPr="006D30E6">
        <w:rPr>
          <w:rFonts w:cstheme="minorHAnsi"/>
          <w:sz w:val="24"/>
          <w:szCs w:val="24"/>
          <w:lang w:val="mi-NZ"/>
        </w:rPr>
        <w:t>as pleaded</w:t>
      </w:r>
      <w:r w:rsidR="004A7066" w:rsidRPr="006D30E6">
        <w:rPr>
          <w:rFonts w:cstheme="minorHAnsi"/>
          <w:sz w:val="24"/>
          <w:szCs w:val="24"/>
          <w:lang w:val="mi-NZ"/>
        </w:rPr>
        <w:t xml:space="preserve"> in the charge</w:t>
      </w:r>
      <w:r w:rsidR="00AA339D" w:rsidRPr="006D30E6">
        <w:rPr>
          <w:rFonts w:cstheme="minorHAnsi"/>
          <w:sz w:val="24"/>
          <w:szCs w:val="24"/>
          <w:lang w:val="mi-NZ"/>
        </w:rPr>
        <w:t>, and also principle 8, the conduct does not meet expected professional standards.</w:t>
      </w:r>
    </w:p>
    <w:p w14:paraId="51CB968C" w14:textId="77777777" w:rsidR="003569C0" w:rsidRPr="006D30E6" w:rsidRDefault="003569C0" w:rsidP="00980624">
      <w:pPr>
        <w:pStyle w:val="ListParagraph"/>
        <w:ind w:left="1701" w:hanging="567"/>
        <w:jc w:val="both"/>
        <w:rPr>
          <w:rFonts w:cstheme="minorHAnsi"/>
          <w:sz w:val="24"/>
          <w:szCs w:val="24"/>
          <w:lang w:val="mi-NZ"/>
        </w:rPr>
      </w:pPr>
    </w:p>
    <w:p w14:paraId="0BD034CA" w14:textId="7483547F" w:rsidR="00A836E8" w:rsidRPr="006D30E6" w:rsidRDefault="004A7066" w:rsidP="00980624">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 xml:space="preserve">In </w:t>
      </w:r>
      <w:r w:rsidR="00A836E8" w:rsidRPr="006D30E6">
        <w:rPr>
          <w:rFonts w:cstheme="minorHAnsi"/>
          <w:sz w:val="24"/>
          <w:szCs w:val="24"/>
          <w:lang w:val="mi-NZ"/>
        </w:rPr>
        <w:t xml:space="preserve">her communication with the Board, </w:t>
      </w:r>
      <w:r w:rsidR="00E630C4" w:rsidRPr="006D30E6">
        <w:rPr>
          <w:rFonts w:cstheme="minorHAnsi"/>
          <w:sz w:val="24"/>
          <w:szCs w:val="24"/>
          <w:lang w:val="mi-NZ"/>
        </w:rPr>
        <w:t xml:space="preserve">Ms Hanley herself </w:t>
      </w:r>
      <w:r w:rsidR="00A836E8" w:rsidRPr="006D30E6">
        <w:rPr>
          <w:rFonts w:cstheme="minorHAnsi"/>
          <w:sz w:val="24"/>
          <w:szCs w:val="24"/>
          <w:lang w:val="mi-NZ"/>
        </w:rPr>
        <w:t xml:space="preserve">identified that her conduct offended </w:t>
      </w:r>
      <w:r w:rsidR="003F4CD8" w:rsidRPr="006D30E6">
        <w:rPr>
          <w:rFonts w:cstheme="minorHAnsi"/>
          <w:sz w:val="24"/>
          <w:szCs w:val="24"/>
          <w:lang w:val="mi-NZ"/>
        </w:rPr>
        <w:t>p</w:t>
      </w:r>
      <w:r w:rsidR="00A836E8" w:rsidRPr="006D30E6">
        <w:rPr>
          <w:rFonts w:cstheme="minorHAnsi"/>
          <w:sz w:val="24"/>
          <w:szCs w:val="24"/>
          <w:lang w:val="mi-NZ"/>
        </w:rPr>
        <w:t>rinciples 1, 8 and 9</w:t>
      </w:r>
      <w:r w:rsidR="00E630C4" w:rsidRPr="006D30E6">
        <w:rPr>
          <w:rFonts w:cstheme="minorHAnsi"/>
          <w:sz w:val="24"/>
          <w:szCs w:val="24"/>
          <w:lang w:val="mi-NZ"/>
        </w:rPr>
        <w:t xml:space="preserve"> of the Code</w:t>
      </w:r>
      <w:r w:rsidR="00A836E8" w:rsidRPr="006D30E6">
        <w:rPr>
          <w:rFonts w:cstheme="minorHAnsi"/>
          <w:sz w:val="24"/>
          <w:szCs w:val="24"/>
          <w:lang w:val="mi-NZ"/>
        </w:rPr>
        <w:t xml:space="preserve">. </w:t>
      </w:r>
      <w:r w:rsidR="00E630C4" w:rsidRPr="006D30E6">
        <w:rPr>
          <w:rFonts w:cstheme="minorHAnsi"/>
          <w:sz w:val="24"/>
          <w:szCs w:val="24"/>
          <w:lang w:val="mi-NZ"/>
        </w:rPr>
        <w:t xml:space="preserve">She </w:t>
      </w:r>
      <w:r w:rsidR="003F4CD8" w:rsidRPr="006D30E6">
        <w:rPr>
          <w:rFonts w:cstheme="minorHAnsi"/>
          <w:sz w:val="24"/>
          <w:szCs w:val="24"/>
          <w:lang w:val="mi-NZ"/>
        </w:rPr>
        <w:t>referred to</w:t>
      </w:r>
      <w:r w:rsidR="00E630C4" w:rsidRPr="006D30E6">
        <w:rPr>
          <w:rFonts w:cstheme="minorHAnsi"/>
          <w:sz w:val="24"/>
          <w:szCs w:val="24"/>
          <w:lang w:val="mi-NZ"/>
        </w:rPr>
        <w:t xml:space="preserve"> </w:t>
      </w:r>
      <w:r w:rsidR="00A836E8" w:rsidRPr="006D30E6">
        <w:rPr>
          <w:rFonts w:cstheme="minorHAnsi"/>
          <w:sz w:val="24"/>
          <w:szCs w:val="24"/>
          <w:lang w:val="mi-NZ"/>
        </w:rPr>
        <w:t xml:space="preserve">the need to act with integrity in </w:t>
      </w:r>
      <w:r w:rsidR="001900CC" w:rsidRPr="006D30E6">
        <w:rPr>
          <w:rFonts w:cstheme="minorHAnsi"/>
          <w:sz w:val="24"/>
          <w:szCs w:val="24"/>
          <w:lang w:val="mi-NZ"/>
        </w:rPr>
        <w:t>p</w:t>
      </w:r>
      <w:r w:rsidR="00A836E8" w:rsidRPr="006D30E6">
        <w:rPr>
          <w:rFonts w:cstheme="minorHAnsi"/>
          <w:sz w:val="24"/>
          <w:szCs w:val="24"/>
          <w:lang w:val="mi-NZ"/>
        </w:rPr>
        <w:t>rinciple 1, the need to work openly and respec</w:t>
      </w:r>
      <w:r w:rsidR="001900CC" w:rsidRPr="006D30E6">
        <w:rPr>
          <w:rFonts w:cstheme="minorHAnsi"/>
          <w:sz w:val="24"/>
          <w:szCs w:val="24"/>
          <w:lang w:val="mi-NZ"/>
        </w:rPr>
        <w:t>t</w:t>
      </w:r>
      <w:r w:rsidR="00A836E8" w:rsidRPr="006D30E6">
        <w:rPr>
          <w:rFonts w:cstheme="minorHAnsi"/>
          <w:sz w:val="24"/>
          <w:szCs w:val="24"/>
          <w:lang w:val="mi-NZ"/>
        </w:rPr>
        <w:t>ful</w:t>
      </w:r>
      <w:r w:rsidR="00C5674A" w:rsidRPr="006D30E6">
        <w:rPr>
          <w:rFonts w:cstheme="minorHAnsi"/>
          <w:sz w:val="24"/>
          <w:szCs w:val="24"/>
          <w:lang w:val="mi-NZ"/>
        </w:rPr>
        <w:t>ly</w:t>
      </w:r>
      <w:r w:rsidR="00A836E8" w:rsidRPr="006D30E6">
        <w:rPr>
          <w:rFonts w:cstheme="minorHAnsi"/>
          <w:sz w:val="24"/>
          <w:szCs w:val="24"/>
          <w:lang w:val="mi-NZ"/>
        </w:rPr>
        <w:t xml:space="preserve"> with colleagues </w:t>
      </w:r>
      <w:r w:rsidR="00DC486A" w:rsidRPr="006D30E6">
        <w:rPr>
          <w:rFonts w:cstheme="minorHAnsi"/>
          <w:sz w:val="24"/>
          <w:szCs w:val="24"/>
          <w:lang w:val="mi-NZ"/>
        </w:rPr>
        <w:t xml:space="preserve">including avoiding harassment </w:t>
      </w:r>
      <w:r w:rsidR="00A836E8" w:rsidRPr="006D30E6">
        <w:rPr>
          <w:rFonts w:cstheme="minorHAnsi"/>
          <w:sz w:val="24"/>
          <w:szCs w:val="24"/>
          <w:lang w:val="mi-NZ"/>
        </w:rPr>
        <w:t xml:space="preserve">in </w:t>
      </w:r>
      <w:r w:rsidR="001900CC" w:rsidRPr="006D30E6">
        <w:rPr>
          <w:rFonts w:cstheme="minorHAnsi"/>
          <w:sz w:val="24"/>
          <w:szCs w:val="24"/>
          <w:lang w:val="mi-NZ"/>
        </w:rPr>
        <w:t>p</w:t>
      </w:r>
      <w:r w:rsidR="00A836E8" w:rsidRPr="006D30E6">
        <w:rPr>
          <w:rFonts w:cstheme="minorHAnsi"/>
          <w:sz w:val="24"/>
          <w:szCs w:val="24"/>
          <w:lang w:val="mi-NZ"/>
        </w:rPr>
        <w:t>rinciple 8 and the need to maintain public trust in the social work profession</w:t>
      </w:r>
      <w:r w:rsidR="00C5674A" w:rsidRPr="006D30E6">
        <w:rPr>
          <w:rFonts w:cstheme="minorHAnsi"/>
          <w:sz w:val="24"/>
          <w:szCs w:val="24"/>
          <w:lang w:val="mi-NZ"/>
        </w:rPr>
        <w:t>.</w:t>
      </w:r>
      <w:r w:rsidR="001900CC" w:rsidRPr="006D30E6">
        <w:rPr>
          <w:rFonts w:cstheme="minorHAnsi"/>
          <w:sz w:val="24"/>
          <w:szCs w:val="24"/>
          <w:lang w:val="mi-NZ"/>
        </w:rPr>
        <w:t xml:space="preserve"> in</w:t>
      </w:r>
      <w:r w:rsidR="00A836E8" w:rsidRPr="006D30E6">
        <w:rPr>
          <w:rFonts w:cstheme="minorHAnsi"/>
          <w:sz w:val="24"/>
          <w:szCs w:val="24"/>
          <w:lang w:val="mi-NZ"/>
        </w:rPr>
        <w:t xml:space="preserve"> principle 9. </w:t>
      </w:r>
    </w:p>
    <w:p w14:paraId="588FCA52" w14:textId="77777777" w:rsidR="001900CC" w:rsidRPr="006D30E6" w:rsidRDefault="001900CC" w:rsidP="00980624">
      <w:pPr>
        <w:pStyle w:val="ListParagraph"/>
        <w:ind w:left="567" w:hanging="567"/>
        <w:jc w:val="both"/>
        <w:rPr>
          <w:rFonts w:cstheme="minorHAnsi"/>
          <w:sz w:val="24"/>
          <w:szCs w:val="24"/>
          <w:lang w:val="mi-NZ"/>
        </w:rPr>
      </w:pPr>
    </w:p>
    <w:p w14:paraId="6B39DDE8" w14:textId="77777777" w:rsidR="001900CC" w:rsidRPr="006D30E6" w:rsidRDefault="001900CC" w:rsidP="00980624">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lastRenderedPageBreak/>
        <w:t>In her written statement to the Tribunal Ms Hanley stated:</w:t>
      </w:r>
    </w:p>
    <w:p w14:paraId="2603101C" w14:textId="77777777" w:rsidR="001900CC" w:rsidRPr="006D30E6" w:rsidRDefault="001900CC" w:rsidP="00980624">
      <w:pPr>
        <w:pStyle w:val="ListParagraph"/>
        <w:ind w:left="567" w:hanging="567"/>
        <w:jc w:val="both"/>
        <w:rPr>
          <w:rFonts w:cstheme="minorHAnsi"/>
          <w:sz w:val="24"/>
          <w:szCs w:val="24"/>
          <w:lang w:val="mi-NZ"/>
        </w:rPr>
      </w:pPr>
    </w:p>
    <w:p w14:paraId="5E8DBB57" w14:textId="15F9D017" w:rsidR="001900CC" w:rsidRPr="006D30E6" w:rsidRDefault="001900CC" w:rsidP="00980624">
      <w:pPr>
        <w:pStyle w:val="ListParagraph"/>
        <w:ind w:left="1134"/>
        <w:jc w:val="both"/>
        <w:rPr>
          <w:rFonts w:cstheme="minorHAnsi"/>
          <w:sz w:val="24"/>
          <w:szCs w:val="24"/>
          <w:lang w:val="mi-NZ"/>
        </w:rPr>
      </w:pPr>
      <w:r w:rsidRPr="006D30E6">
        <w:rPr>
          <w:rFonts w:cstheme="minorHAnsi"/>
          <w:sz w:val="24"/>
          <w:szCs w:val="24"/>
          <w:lang w:val="mi-NZ"/>
        </w:rPr>
        <w:t>“First, I accept full responsibility for my actions. I am responsible for binge drinking on the night in question, and I am responsible for all the behaviors that followed-including assaulting</w:t>
      </w:r>
      <w:r w:rsidR="008B0456">
        <w:rPr>
          <w:rFonts w:cstheme="minorHAnsi"/>
          <w:sz w:val="24"/>
          <w:szCs w:val="24"/>
          <w:lang w:val="mi-NZ"/>
        </w:rPr>
        <w:t xml:space="preserve"> [the victim]</w:t>
      </w:r>
      <w:r w:rsidRPr="006D30E6">
        <w:rPr>
          <w:rFonts w:cstheme="minorHAnsi"/>
          <w:sz w:val="24"/>
          <w:szCs w:val="24"/>
          <w:lang w:val="mi-NZ"/>
        </w:rPr>
        <w:t>.</w:t>
      </w:r>
    </w:p>
    <w:p w14:paraId="7E58E925" w14:textId="77777777" w:rsidR="001900CC" w:rsidRPr="006D30E6" w:rsidRDefault="001900CC" w:rsidP="00980624">
      <w:pPr>
        <w:pStyle w:val="ListParagraph"/>
        <w:ind w:left="1134"/>
        <w:jc w:val="both"/>
        <w:rPr>
          <w:rFonts w:cstheme="minorHAnsi"/>
          <w:sz w:val="24"/>
          <w:szCs w:val="24"/>
          <w:lang w:val="mi-NZ"/>
        </w:rPr>
      </w:pPr>
    </w:p>
    <w:p w14:paraId="33F529E7" w14:textId="77777777" w:rsidR="001900CC" w:rsidRPr="006D30E6" w:rsidRDefault="001900CC" w:rsidP="00980624">
      <w:pPr>
        <w:pStyle w:val="ListParagraph"/>
        <w:ind w:left="1134"/>
        <w:jc w:val="both"/>
        <w:rPr>
          <w:rFonts w:cstheme="minorHAnsi"/>
          <w:sz w:val="24"/>
          <w:szCs w:val="24"/>
          <w:lang w:val="mi-NZ"/>
        </w:rPr>
      </w:pPr>
      <w:r w:rsidRPr="006D30E6">
        <w:rPr>
          <w:rFonts w:cstheme="minorHAnsi"/>
          <w:sz w:val="24"/>
          <w:szCs w:val="24"/>
          <w:lang w:val="mi-NZ"/>
        </w:rPr>
        <w:t>I was incredibly humiliated, and I carried a lot of shame and guilt for what I did. My behaviors that night, go against my personal values and ethics. I agree that this is completely unacceptable behavior of a social worker.”</w:t>
      </w:r>
    </w:p>
    <w:p w14:paraId="10D22D92" w14:textId="77777777" w:rsidR="00A836E8" w:rsidRPr="006D30E6" w:rsidRDefault="00A836E8" w:rsidP="00A836E8">
      <w:pPr>
        <w:pStyle w:val="ListParagraph"/>
        <w:jc w:val="both"/>
        <w:rPr>
          <w:rFonts w:cstheme="minorHAnsi"/>
          <w:sz w:val="24"/>
          <w:szCs w:val="24"/>
          <w:lang w:val="mi-NZ"/>
        </w:rPr>
      </w:pPr>
    </w:p>
    <w:p w14:paraId="21E45796" w14:textId="2A741621" w:rsidR="00F96B66" w:rsidRPr="006D30E6" w:rsidRDefault="00AA339D" w:rsidP="00980624">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 xml:space="preserve">The Tribunal </w:t>
      </w:r>
      <w:r w:rsidR="001900CC" w:rsidRPr="006D30E6">
        <w:rPr>
          <w:rFonts w:cstheme="minorHAnsi"/>
          <w:sz w:val="24"/>
          <w:szCs w:val="24"/>
          <w:lang w:val="mi-NZ"/>
        </w:rPr>
        <w:t>considered that</w:t>
      </w:r>
      <w:r w:rsidRPr="006D30E6">
        <w:rPr>
          <w:rFonts w:cstheme="minorHAnsi"/>
          <w:sz w:val="24"/>
          <w:szCs w:val="24"/>
          <w:lang w:val="mi-NZ"/>
        </w:rPr>
        <w:t xml:space="preserve"> the circumstances of the offending included factors</w:t>
      </w:r>
      <w:r w:rsidR="001900CC" w:rsidRPr="006D30E6">
        <w:rPr>
          <w:rFonts w:cstheme="minorHAnsi"/>
          <w:sz w:val="24"/>
          <w:szCs w:val="24"/>
          <w:lang w:val="mi-NZ"/>
        </w:rPr>
        <w:t xml:space="preserve"> identified by Ms Hanley in the material she placed before the Board, PCC and Tribunal</w:t>
      </w:r>
      <w:r w:rsidRPr="006D30E6">
        <w:rPr>
          <w:rFonts w:cstheme="minorHAnsi"/>
          <w:sz w:val="24"/>
          <w:szCs w:val="24"/>
          <w:lang w:val="mi-NZ"/>
        </w:rPr>
        <w:t xml:space="preserve"> such as significant workplace stress</w:t>
      </w:r>
      <w:r w:rsidR="00DC486A" w:rsidRPr="006D30E6">
        <w:rPr>
          <w:rFonts w:cstheme="minorHAnsi"/>
          <w:sz w:val="24"/>
          <w:szCs w:val="24"/>
          <w:lang w:val="mi-NZ"/>
        </w:rPr>
        <w:t xml:space="preserve"> due in part to Ms Hanley supervising a largely new team of social workers, and a particularly difficult</w:t>
      </w:r>
      <w:r w:rsidR="00F96B66" w:rsidRPr="006D30E6">
        <w:rPr>
          <w:rFonts w:cstheme="minorHAnsi"/>
          <w:sz w:val="24"/>
          <w:szCs w:val="24"/>
          <w:lang w:val="mi-NZ"/>
        </w:rPr>
        <w:t xml:space="preserve"> case involving serious offending</w:t>
      </w:r>
      <w:r w:rsidR="00631C8D" w:rsidRPr="006D30E6">
        <w:rPr>
          <w:rFonts w:cstheme="minorHAnsi"/>
          <w:sz w:val="24"/>
          <w:szCs w:val="24"/>
          <w:lang w:val="mi-NZ"/>
        </w:rPr>
        <w:t>.  Ms Hanley self-reported the no</w:t>
      </w:r>
      <w:r w:rsidRPr="006D30E6">
        <w:rPr>
          <w:rFonts w:cstheme="minorHAnsi"/>
          <w:sz w:val="24"/>
          <w:szCs w:val="24"/>
          <w:lang w:val="mi-NZ"/>
        </w:rPr>
        <w:t xml:space="preserve">rmalisation </w:t>
      </w:r>
      <w:r w:rsidR="00631C8D" w:rsidRPr="006D30E6">
        <w:rPr>
          <w:rFonts w:cstheme="minorHAnsi"/>
          <w:sz w:val="24"/>
          <w:szCs w:val="24"/>
          <w:lang w:val="mi-NZ"/>
        </w:rPr>
        <w:t xml:space="preserve">of excessive alcohol use in her </w:t>
      </w:r>
      <w:r w:rsidRPr="006D30E6">
        <w:rPr>
          <w:rFonts w:cstheme="minorHAnsi"/>
          <w:sz w:val="24"/>
          <w:szCs w:val="24"/>
          <w:lang w:val="mi-NZ"/>
        </w:rPr>
        <w:t xml:space="preserve">personal sphere. </w:t>
      </w:r>
      <w:r w:rsidR="00631C8D" w:rsidRPr="006D30E6">
        <w:rPr>
          <w:rFonts w:cstheme="minorHAnsi"/>
          <w:sz w:val="24"/>
          <w:szCs w:val="24"/>
          <w:lang w:val="mi-NZ"/>
        </w:rPr>
        <w:t xml:space="preserve">The evidence </w:t>
      </w:r>
      <w:r w:rsidRPr="006D30E6">
        <w:rPr>
          <w:rFonts w:cstheme="minorHAnsi"/>
          <w:sz w:val="24"/>
          <w:szCs w:val="24"/>
          <w:lang w:val="mi-NZ"/>
        </w:rPr>
        <w:t xml:space="preserve">also </w:t>
      </w:r>
      <w:r w:rsidR="00631C8D" w:rsidRPr="006D30E6">
        <w:rPr>
          <w:rFonts w:cstheme="minorHAnsi"/>
          <w:sz w:val="24"/>
          <w:szCs w:val="24"/>
          <w:lang w:val="mi-NZ"/>
        </w:rPr>
        <w:t xml:space="preserve">suggested </w:t>
      </w:r>
      <w:r w:rsidRPr="006D30E6">
        <w:rPr>
          <w:rFonts w:cstheme="minorHAnsi"/>
          <w:sz w:val="24"/>
          <w:szCs w:val="24"/>
          <w:lang w:val="mi-NZ"/>
        </w:rPr>
        <w:t>tolerance of</w:t>
      </w:r>
      <w:r w:rsidR="00631C8D" w:rsidRPr="006D30E6">
        <w:rPr>
          <w:rFonts w:cstheme="minorHAnsi"/>
          <w:sz w:val="24"/>
          <w:szCs w:val="24"/>
          <w:lang w:val="mi-NZ"/>
        </w:rPr>
        <w:t xml:space="preserve"> socialising with</w:t>
      </w:r>
      <w:r w:rsidRPr="006D30E6">
        <w:rPr>
          <w:rFonts w:cstheme="minorHAnsi"/>
          <w:sz w:val="24"/>
          <w:szCs w:val="24"/>
          <w:lang w:val="mi-NZ"/>
        </w:rPr>
        <w:t xml:space="preserve"> alcohol amongst colleagues. </w:t>
      </w:r>
    </w:p>
    <w:p w14:paraId="4A7DD481" w14:textId="77777777" w:rsidR="00F96B66" w:rsidRPr="006D30E6" w:rsidRDefault="00F96B66" w:rsidP="00980624">
      <w:pPr>
        <w:pStyle w:val="ListParagraph"/>
        <w:ind w:left="567" w:hanging="567"/>
        <w:jc w:val="both"/>
        <w:rPr>
          <w:rFonts w:cstheme="minorHAnsi"/>
          <w:sz w:val="24"/>
          <w:szCs w:val="24"/>
          <w:lang w:val="mi-NZ"/>
        </w:rPr>
      </w:pPr>
    </w:p>
    <w:p w14:paraId="5B1A50CA" w14:textId="39598506" w:rsidR="00AA339D" w:rsidRPr="006D30E6" w:rsidRDefault="00AA339D" w:rsidP="00980624">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 xml:space="preserve">The guidance material in </w:t>
      </w:r>
      <w:r w:rsidR="001900CC" w:rsidRPr="006D30E6">
        <w:rPr>
          <w:rFonts w:cstheme="minorHAnsi"/>
          <w:sz w:val="24"/>
          <w:szCs w:val="24"/>
          <w:lang w:val="mi-NZ"/>
        </w:rPr>
        <w:t>p</w:t>
      </w:r>
      <w:r w:rsidRPr="006D30E6">
        <w:rPr>
          <w:rFonts w:cstheme="minorHAnsi"/>
          <w:sz w:val="24"/>
          <w:szCs w:val="24"/>
          <w:lang w:val="mi-NZ"/>
        </w:rPr>
        <w:t xml:space="preserve">rinciple 9 </w:t>
      </w:r>
      <w:r w:rsidR="00F96B66" w:rsidRPr="006D30E6">
        <w:rPr>
          <w:rFonts w:cstheme="minorHAnsi"/>
          <w:sz w:val="24"/>
          <w:szCs w:val="24"/>
          <w:lang w:val="mi-NZ"/>
        </w:rPr>
        <w:t xml:space="preserve">of the Code </w:t>
      </w:r>
      <w:r w:rsidR="00631C8D" w:rsidRPr="006D30E6">
        <w:rPr>
          <w:rFonts w:cstheme="minorHAnsi"/>
          <w:sz w:val="24"/>
          <w:szCs w:val="24"/>
          <w:lang w:val="mi-NZ"/>
        </w:rPr>
        <w:t>r</w:t>
      </w:r>
      <w:r w:rsidR="00F856C9" w:rsidRPr="006D30E6">
        <w:rPr>
          <w:rFonts w:cstheme="minorHAnsi"/>
          <w:sz w:val="24"/>
          <w:szCs w:val="24"/>
          <w:lang w:val="mi-NZ"/>
        </w:rPr>
        <w:t>ecognises that there cannot be a complete separation of the personal and the professional</w:t>
      </w:r>
      <w:r w:rsidR="00631C8D" w:rsidRPr="006D30E6">
        <w:rPr>
          <w:rFonts w:cstheme="minorHAnsi"/>
          <w:sz w:val="24"/>
          <w:szCs w:val="24"/>
          <w:lang w:val="mi-NZ"/>
        </w:rPr>
        <w:t xml:space="preserve"> when characterising conduct as unethical and sanctionable:</w:t>
      </w:r>
    </w:p>
    <w:p w14:paraId="4E8CA0B6" w14:textId="03FE4608" w:rsidR="00AA339D" w:rsidRPr="006D30E6" w:rsidRDefault="00AA339D" w:rsidP="00AA339D">
      <w:pPr>
        <w:pStyle w:val="ListParagraph"/>
        <w:jc w:val="both"/>
        <w:rPr>
          <w:rFonts w:cstheme="minorHAnsi"/>
          <w:sz w:val="24"/>
          <w:szCs w:val="24"/>
          <w:lang w:val="mi-NZ"/>
        </w:rPr>
      </w:pPr>
    </w:p>
    <w:p w14:paraId="4CD14133" w14:textId="48C365AB" w:rsidR="00AA339D" w:rsidRPr="006D30E6" w:rsidRDefault="003569C0" w:rsidP="00980624">
      <w:pPr>
        <w:pStyle w:val="ListParagraph"/>
        <w:ind w:left="1134"/>
        <w:jc w:val="both"/>
        <w:rPr>
          <w:rFonts w:cstheme="minorHAnsi"/>
          <w:sz w:val="24"/>
          <w:szCs w:val="24"/>
          <w:lang w:val="mi-NZ"/>
        </w:rPr>
      </w:pPr>
      <w:r w:rsidRPr="006D30E6">
        <w:rPr>
          <w:rFonts w:cstheme="minorHAnsi"/>
          <w:sz w:val="24"/>
          <w:szCs w:val="24"/>
          <w:lang w:val="mi-NZ"/>
        </w:rPr>
        <w:t>“</w:t>
      </w:r>
      <w:r w:rsidR="00AA339D" w:rsidRPr="006D30E6">
        <w:rPr>
          <w:rFonts w:cstheme="minorHAnsi"/>
          <w:sz w:val="24"/>
          <w:szCs w:val="24"/>
          <w:lang w:val="mi-NZ"/>
        </w:rPr>
        <w:t xml:space="preserve">For conduct </w:t>
      </w:r>
      <w:r w:rsidRPr="006D30E6">
        <w:rPr>
          <w:rFonts w:cstheme="minorHAnsi"/>
          <w:sz w:val="24"/>
          <w:szCs w:val="24"/>
          <w:lang w:val="mi-NZ"/>
        </w:rPr>
        <w:t>outside of work to be sufficiently serious to warrant discipline it has to have a direct relationship with your professional behaviour or there has to be a connection with your pr</w:t>
      </w:r>
      <w:r w:rsidR="001900CC" w:rsidRPr="006D30E6">
        <w:rPr>
          <w:rFonts w:cstheme="minorHAnsi"/>
          <w:sz w:val="24"/>
          <w:szCs w:val="24"/>
          <w:lang w:val="mi-NZ"/>
        </w:rPr>
        <w:t>o</w:t>
      </w:r>
      <w:r w:rsidRPr="006D30E6">
        <w:rPr>
          <w:rFonts w:cstheme="minorHAnsi"/>
          <w:sz w:val="24"/>
          <w:szCs w:val="24"/>
          <w:lang w:val="mi-NZ"/>
        </w:rPr>
        <w:t>f</w:t>
      </w:r>
      <w:r w:rsidR="001900CC" w:rsidRPr="006D30E6">
        <w:rPr>
          <w:rFonts w:cstheme="minorHAnsi"/>
          <w:sz w:val="24"/>
          <w:szCs w:val="24"/>
          <w:lang w:val="mi-NZ"/>
        </w:rPr>
        <w:t>e</w:t>
      </w:r>
      <w:r w:rsidRPr="006D30E6">
        <w:rPr>
          <w:rFonts w:cstheme="minorHAnsi"/>
          <w:sz w:val="24"/>
          <w:szCs w:val="24"/>
          <w:lang w:val="mi-NZ"/>
        </w:rPr>
        <w:t>ssional position to bring discredit to the profession...While the SWRB does not wish to intrude into the personal lives of individual</w:t>
      </w:r>
      <w:r w:rsidR="00631C8D" w:rsidRPr="006D30E6">
        <w:rPr>
          <w:rFonts w:cstheme="minorHAnsi"/>
          <w:sz w:val="24"/>
          <w:szCs w:val="24"/>
          <w:lang w:val="mi-NZ"/>
        </w:rPr>
        <w:t xml:space="preserve"> </w:t>
      </w:r>
      <w:r w:rsidRPr="006D30E6">
        <w:rPr>
          <w:rFonts w:cstheme="minorHAnsi"/>
          <w:sz w:val="24"/>
          <w:szCs w:val="24"/>
          <w:lang w:val="mi-NZ"/>
        </w:rPr>
        <w:t>social workers it does have a responsibility to ensure the safet</w:t>
      </w:r>
      <w:r w:rsidR="001900CC" w:rsidRPr="006D30E6">
        <w:rPr>
          <w:rFonts w:cstheme="minorHAnsi"/>
          <w:sz w:val="24"/>
          <w:szCs w:val="24"/>
          <w:lang w:val="mi-NZ"/>
        </w:rPr>
        <w:t>y of</w:t>
      </w:r>
      <w:r w:rsidRPr="006D30E6">
        <w:rPr>
          <w:rFonts w:cstheme="minorHAnsi"/>
          <w:sz w:val="24"/>
          <w:szCs w:val="24"/>
          <w:lang w:val="mi-NZ"/>
        </w:rPr>
        <w:t xml:space="preserve"> the public and to ensure that Registered Social Workers do not behave in ways that reflect adversely on their fitness to practice...</w:t>
      </w:r>
    </w:p>
    <w:p w14:paraId="0BE004BC" w14:textId="2C224E28" w:rsidR="003569C0" w:rsidRPr="006D30E6" w:rsidRDefault="003569C0" w:rsidP="00980624">
      <w:pPr>
        <w:pStyle w:val="ListParagraph"/>
        <w:ind w:left="1134"/>
        <w:jc w:val="both"/>
        <w:rPr>
          <w:rFonts w:cstheme="minorHAnsi"/>
          <w:sz w:val="24"/>
          <w:szCs w:val="24"/>
          <w:lang w:val="mi-NZ"/>
        </w:rPr>
      </w:pPr>
    </w:p>
    <w:p w14:paraId="3B1D0E4D" w14:textId="0E8B4207" w:rsidR="003569C0" w:rsidRPr="006D30E6" w:rsidRDefault="003569C0" w:rsidP="00980624">
      <w:pPr>
        <w:pStyle w:val="ListParagraph"/>
        <w:ind w:left="1134"/>
        <w:jc w:val="both"/>
        <w:rPr>
          <w:rFonts w:cstheme="minorHAnsi"/>
          <w:sz w:val="24"/>
          <w:szCs w:val="24"/>
          <w:lang w:val="mi-NZ"/>
        </w:rPr>
      </w:pPr>
      <w:r w:rsidRPr="006D30E6">
        <w:rPr>
          <w:rFonts w:cstheme="minorHAnsi"/>
          <w:sz w:val="24"/>
          <w:szCs w:val="24"/>
          <w:lang w:val="mi-NZ"/>
        </w:rPr>
        <w:t>Some convictions will obviously reflect adversely on the social work profession (for example violence or sexual offences). Some convictions may be less clear-cut (for example a one-off drink driving offence).”</w:t>
      </w:r>
    </w:p>
    <w:p w14:paraId="0F70C4D0" w14:textId="77777777" w:rsidR="00A836E8" w:rsidRPr="006D30E6" w:rsidRDefault="00A836E8" w:rsidP="00AA339D">
      <w:pPr>
        <w:pStyle w:val="ListParagraph"/>
        <w:ind w:left="1440"/>
        <w:jc w:val="both"/>
        <w:rPr>
          <w:rFonts w:cstheme="minorHAnsi"/>
          <w:sz w:val="24"/>
          <w:szCs w:val="24"/>
          <w:lang w:val="mi-NZ"/>
        </w:rPr>
      </w:pPr>
    </w:p>
    <w:p w14:paraId="5DAF766A" w14:textId="7F9D0A76" w:rsidR="00AA339D" w:rsidRPr="006D30E6" w:rsidRDefault="003569C0" w:rsidP="00980624">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 xml:space="preserve">The </w:t>
      </w:r>
      <w:r w:rsidR="00F856C9" w:rsidRPr="006D30E6">
        <w:rPr>
          <w:rFonts w:cstheme="minorHAnsi"/>
          <w:sz w:val="24"/>
          <w:szCs w:val="24"/>
          <w:lang w:val="mi-NZ"/>
        </w:rPr>
        <w:t>factors</w:t>
      </w:r>
      <w:r w:rsidR="00F96B66" w:rsidRPr="006D30E6">
        <w:rPr>
          <w:rFonts w:cstheme="minorHAnsi"/>
          <w:sz w:val="24"/>
          <w:szCs w:val="24"/>
          <w:lang w:val="mi-NZ"/>
        </w:rPr>
        <w:t xml:space="preserve"> that we rely on in</w:t>
      </w:r>
      <w:r w:rsidR="00F856C9" w:rsidRPr="006D30E6">
        <w:rPr>
          <w:rFonts w:cstheme="minorHAnsi"/>
          <w:sz w:val="24"/>
          <w:szCs w:val="24"/>
          <w:lang w:val="mi-NZ"/>
        </w:rPr>
        <w:t xml:space="preserve"> finding that Ms Hanely’s conduct reflects adversely on her fitness to practi</w:t>
      </w:r>
      <w:r w:rsidR="00CE3FB9" w:rsidRPr="006D30E6">
        <w:rPr>
          <w:rFonts w:cstheme="minorHAnsi"/>
          <w:sz w:val="24"/>
          <w:szCs w:val="24"/>
          <w:lang w:val="mi-NZ"/>
        </w:rPr>
        <w:t>s</w:t>
      </w:r>
      <w:r w:rsidR="00F856C9" w:rsidRPr="006D30E6">
        <w:rPr>
          <w:rFonts w:cstheme="minorHAnsi"/>
          <w:sz w:val="24"/>
          <w:szCs w:val="24"/>
          <w:lang w:val="mi-NZ"/>
        </w:rPr>
        <w:t>e are:</w:t>
      </w:r>
    </w:p>
    <w:p w14:paraId="14E74E1C" w14:textId="77777777" w:rsidR="00F856C9" w:rsidRPr="006D30E6" w:rsidRDefault="00F856C9" w:rsidP="00F856C9">
      <w:pPr>
        <w:pStyle w:val="ListParagraph"/>
        <w:jc w:val="both"/>
        <w:rPr>
          <w:rFonts w:cstheme="minorHAnsi"/>
          <w:sz w:val="24"/>
          <w:szCs w:val="24"/>
          <w:lang w:val="mi-NZ"/>
        </w:rPr>
      </w:pPr>
    </w:p>
    <w:p w14:paraId="777D1354" w14:textId="6C95AB9B" w:rsidR="00F856C9" w:rsidRPr="006D30E6" w:rsidRDefault="00631C8D" w:rsidP="00980624">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t</w:t>
      </w:r>
      <w:r w:rsidR="00F856C9" w:rsidRPr="006D30E6">
        <w:rPr>
          <w:rFonts w:cstheme="minorHAnsi"/>
          <w:sz w:val="24"/>
          <w:szCs w:val="24"/>
          <w:lang w:val="mi-NZ"/>
        </w:rPr>
        <w:t>he seriousness of the offending</w:t>
      </w:r>
      <w:r w:rsidR="00717AE9" w:rsidRPr="006D30E6">
        <w:rPr>
          <w:rFonts w:cstheme="minorHAnsi"/>
          <w:sz w:val="24"/>
          <w:szCs w:val="24"/>
          <w:lang w:val="mi-NZ"/>
        </w:rPr>
        <w:t>;</w:t>
      </w:r>
    </w:p>
    <w:p w14:paraId="26BD2BD3" w14:textId="77777777" w:rsidR="00717AE9" w:rsidRPr="006D30E6" w:rsidRDefault="00717AE9" w:rsidP="00980624">
      <w:pPr>
        <w:pStyle w:val="ListParagraph"/>
        <w:ind w:left="1701" w:hanging="567"/>
        <w:jc w:val="both"/>
        <w:rPr>
          <w:rFonts w:cstheme="minorHAnsi"/>
          <w:sz w:val="24"/>
          <w:szCs w:val="24"/>
          <w:lang w:val="mi-NZ"/>
        </w:rPr>
      </w:pPr>
    </w:p>
    <w:p w14:paraId="5C779AF6" w14:textId="20218D7C" w:rsidR="00F856C9" w:rsidRPr="006D30E6" w:rsidRDefault="006A730F" w:rsidP="00980624">
      <w:pPr>
        <w:pStyle w:val="ListParagraph"/>
        <w:numPr>
          <w:ilvl w:val="1"/>
          <w:numId w:val="1"/>
        </w:numPr>
        <w:ind w:left="1701" w:hanging="567"/>
        <w:jc w:val="both"/>
        <w:rPr>
          <w:rFonts w:cstheme="minorHAnsi"/>
          <w:sz w:val="24"/>
          <w:szCs w:val="24"/>
          <w:lang w:val="mi-NZ"/>
        </w:rPr>
      </w:pPr>
      <w:r>
        <w:rPr>
          <w:rFonts w:cstheme="minorHAnsi"/>
          <w:sz w:val="24"/>
          <w:szCs w:val="24"/>
          <w:lang w:val="mi-NZ"/>
        </w:rPr>
        <w:t>[ ]</w:t>
      </w:r>
    </w:p>
    <w:p w14:paraId="5B0605F9" w14:textId="77777777" w:rsidR="00717AE9" w:rsidRPr="006D30E6" w:rsidRDefault="00717AE9" w:rsidP="00980624">
      <w:pPr>
        <w:pStyle w:val="ListParagraph"/>
        <w:ind w:left="1701" w:hanging="567"/>
        <w:rPr>
          <w:rFonts w:cstheme="minorHAnsi"/>
          <w:sz w:val="24"/>
          <w:szCs w:val="24"/>
          <w:lang w:val="mi-NZ"/>
        </w:rPr>
      </w:pPr>
    </w:p>
    <w:p w14:paraId="59DCC177" w14:textId="7FF1D786" w:rsidR="00F856C9" w:rsidRPr="006D30E6" w:rsidRDefault="00631C8D" w:rsidP="00980624">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the</w:t>
      </w:r>
      <w:r w:rsidR="00717AE9" w:rsidRPr="006D30E6">
        <w:rPr>
          <w:rFonts w:cstheme="minorHAnsi"/>
          <w:sz w:val="24"/>
          <w:szCs w:val="24"/>
          <w:lang w:val="mi-NZ"/>
        </w:rPr>
        <w:t xml:space="preserve"> combined importance of Ms Hanley’s role within the </w:t>
      </w:r>
      <w:r w:rsidRPr="006D30E6">
        <w:rPr>
          <w:rFonts w:cstheme="minorHAnsi"/>
          <w:sz w:val="24"/>
          <w:szCs w:val="24"/>
          <w:lang w:val="mi-NZ"/>
        </w:rPr>
        <w:t xml:space="preserve">youth </w:t>
      </w:r>
      <w:r w:rsidR="00717AE9" w:rsidRPr="006D30E6">
        <w:rPr>
          <w:rFonts w:cstheme="minorHAnsi"/>
          <w:sz w:val="24"/>
          <w:szCs w:val="24"/>
          <w:lang w:val="mi-NZ"/>
        </w:rPr>
        <w:t>justice system</w:t>
      </w:r>
      <w:r w:rsidR="001900CC" w:rsidRPr="006D30E6">
        <w:rPr>
          <w:rFonts w:cstheme="minorHAnsi"/>
          <w:sz w:val="24"/>
          <w:szCs w:val="24"/>
          <w:lang w:val="mi-NZ"/>
        </w:rPr>
        <w:t xml:space="preserve"> </w:t>
      </w:r>
      <w:r w:rsidRPr="006D30E6">
        <w:rPr>
          <w:rFonts w:cstheme="minorHAnsi"/>
          <w:sz w:val="24"/>
          <w:szCs w:val="24"/>
          <w:lang w:val="mi-NZ"/>
        </w:rPr>
        <w:t>and</w:t>
      </w:r>
      <w:r w:rsidR="00717AE9" w:rsidRPr="006D30E6">
        <w:rPr>
          <w:rFonts w:cstheme="minorHAnsi"/>
          <w:sz w:val="24"/>
          <w:szCs w:val="24"/>
          <w:lang w:val="mi-NZ"/>
        </w:rPr>
        <w:t xml:space="preserve"> her</w:t>
      </w:r>
      <w:r w:rsidRPr="006D30E6">
        <w:rPr>
          <w:rFonts w:cstheme="minorHAnsi"/>
          <w:sz w:val="24"/>
          <w:szCs w:val="24"/>
          <w:lang w:val="mi-NZ"/>
        </w:rPr>
        <w:t xml:space="preserve"> supervisory</w:t>
      </w:r>
      <w:r w:rsidR="00717AE9" w:rsidRPr="006D30E6">
        <w:rPr>
          <w:rFonts w:cstheme="minorHAnsi"/>
          <w:sz w:val="24"/>
          <w:szCs w:val="24"/>
          <w:lang w:val="mi-NZ"/>
        </w:rPr>
        <w:t xml:space="preserve"> </w:t>
      </w:r>
      <w:r w:rsidR="00F856C9" w:rsidRPr="006D30E6">
        <w:rPr>
          <w:rFonts w:cstheme="minorHAnsi"/>
          <w:sz w:val="24"/>
          <w:szCs w:val="24"/>
          <w:lang w:val="mi-NZ"/>
        </w:rPr>
        <w:t>role</w:t>
      </w:r>
      <w:r w:rsidR="00CF3A2E" w:rsidRPr="006D30E6">
        <w:rPr>
          <w:rFonts w:cstheme="minorHAnsi"/>
          <w:sz w:val="24"/>
          <w:szCs w:val="24"/>
          <w:lang w:val="mi-NZ"/>
        </w:rPr>
        <w:t>, and the loss of credibility that her offending w</w:t>
      </w:r>
      <w:r w:rsidR="00F96B66" w:rsidRPr="006D30E6">
        <w:rPr>
          <w:rFonts w:cstheme="minorHAnsi"/>
          <w:sz w:val="24"/>
          <w:szCs w:val="24"/>
          <w:lang w:val="mi-NZ"/>
        </w:rPr>
        <w:t>as likely to cause</w:t>
      </w:r>
      <w:r w:rsidR="00717AE9" w:rsidRPr="006D30E6">
        <w:rPr>
          <w:rFonts w:cstheme="minorHAnsi"/>
          <w:sz w:val="24"/>
          <w:szCs w:val="24"/>
          <w:lang w:val="mi-NZ"/>
        </w:rPr>
        <w:t>;</w:t>
      </w:r>
    </w:p>
    <w:p w14:paraId="1B177257" w14:textId="77777777" w:rsidR="00717AE9" w:rsidRPr="006D30E6" w:rsidRDefault="00717AE9" w:rsidP="00980624">
      <w:pPr>
        <w:pStyle w:val="ListParagraph"/>
        <w:ind w:left="1701" w:hanging="567"/>
        <w:rPr>
          <w:rFonts w:cstheme="minorHAnsi"/>
          <w:sz w:val="24"/>
          <w:szCs w:val="24"/>
          <w:lang w:val="mi-NZ"/>
        </w:rPr>
      </w:pPr>
    </w:p>
    <w:p w14:paraId="0305EA9C" w14:textId="21C879F9" w:rsidR="00CF3A2E" w:rsidRPr="006D30E6" w:rsidRDefault="00CF3A2E" w:rsidP="00980624">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lastRenderedPageBreak/>
        <w:t>t</w:t>
      </w:r>
      <w:r w:rsidR="00F856C9" w:rsidRPr="006D30E6">
        <w:rPr>
          <w:rFonts w:cstheme="minorHAnsi"/>
          <w:sz w:val="24"/>
          <w:szCs w:val="24"/>
          <w:lang w:val="mi-NZ"/>
        </w:rPr>
        <w:t>he conduct did i</w:t>
      </w:r>
      <w:r w:rsidR="00717AE9" w:rsidRPr="006D30E6">
        <w:rPr>
          <w:rFonts w:cstheme="minorHAnsi"/>
          <w:sz w:val="24"/>
          <w:szCs w:val="24"/>
          <w:lang w:val="mi-NZ"/>
        </w:rPr>
        <w:t xml:space="preserve">n fact </w:t>
      </w:r>
      <w:r w:rsidR="00F96B66" w:rsidRPr="006D30E6">
        <w:rPr>
          <w:rFonts w:cstheme="minorHAnsi"/>
          <w:sz w:val="24"/>
          <w:szCs w:val="24"/>
          <w:lang w:val="mi-NZ"/>
        </w:rPr>
        <w:t xml:space="preserve">impact </w:t>
      </w:r>
      <w:r w:rsidRPr="006D30E6">
        <w:rPr>
          <w:rFonts w:cstheme="minorHAnsi"/>
          <w:sz w:val="24"/>
          <w:szCs w:val="24"/>
          <w:lang w:val="mi-NZ"/>
        </w:rPr>
        <w:t>adversely</w:t>
      </w:r>
      <w:r w:rsidR="00F856C9" w:rsidRPr="006D30E6">
        <w:rPr>
          <w:rFonts w:cstheme="minorHAnsi"/>
          <w:sz w:val="24"/>
          <w:szCs w:val="24"/>
          <w:lang w:val="mi-NZ"/>
        </w:rPr>
        <w:t xml:space="preserve"> on Ms Hanley’s professional relationships and professional standing. </w:t>
      </w:r>
      <w:r w:rsidR="007F2326" w:rsidRPr="006D30E6">
        <w:rPr>
          <w:rFonts w:cstheme="minorHAnsi"/>
          <w:sz w:val="24"/>
          <w:szCs w:val="24"/>
          <w:lang w:val="mi-NZ"/>
        </w:rPr>
        <w:t>For example</w:t>
      </w:r>
      <w:r w:rsidRPr="006D30E6">
        <w:rPr>
          <w:rFonts w:cstheme="minorHAnsi"/>
          <w:sz w:val="24"/>
          <w:szCs w:val="24"/>
          <w:lang w:val="mi-NZ"/>
        </w:rPr>
        <w:t>:</w:t>
      </w:r>
    </w:p>
    <w:p w14:paraId="15060810" w14:textId="77777777" w:rsidR="00CF3A2E" w:rsidRPr="006D30E6" w:rsidRDefault="00CF3A2E" w:rsidP="00CF3A2E">
      <w:pPr>
        <w:pStyle w:val="ListParagraph"/>
        <w:rPr>
          <w:rFonts w:cstheme="minorHAnsi"/>
          <w:sz w:val="24"/>
          <w:szCs w:val="24"/>
          <w:lang w:val="mi-NZ"/>
        </w:rPr>
      </w:pPr>
    </w:p>
    <w:p w14:paraId="71BB3CAD" w14:textId="00AD92E1" w:rsidR="00CF3A2E" w:rsidRPr="006D30E6" w:rsidRDefault="008B0456" w:rsidP="00980624">
      <w:pPr>
        <w:pStyle w:val="ListParagraph"/>
        <w:numPr>
          <w:ilvl w:val="2"/>
          <w:numId w:val="1"/>
        </w:numPr>
        <w:ind w:left="2268" w:hanging="317"/>
        <w:jc w:val="both"/>
        <w:rPr>
          <w:rFonts w:cstheme="minorHAnsi"/>
          <w:sz w:val="24"/>
          <w:szCs w:val="24"/>
          <w:lang w:val="mi-NZ"/>
        </w:rPr>
      </w:pPr>
      <w:r>
        <w:rPr>
          <w:rFonts w:cstheme="minorHAnsi"/>
          <w:sz w:val="24"/>
          <w:szCs w:val="24"/>
          <w:lang w:val="mi-NZ"/>
        </w:rPr>
        <w:t>[</w:t>
      </w:r>
      <w:r w:rsidR="00F96B66" w:rsidRPr="006D30E6">
        <w:rPr>
          <w:rFonts w:cstheme="minorHAnsi"/>
          <w:sz w:val="24"/>
          <w:szCs w:val="24"/>
          <w:lang w:val="mi-NZ"/>
        </w:rPr>
        <w:t>the complain</w:t>
      </w:r>
      <w:r w:rsidR="00CE3FB9" w:rsidRPr="006D30E6">
        <w:rPr>
          <w:rFonts w:cstheme="minorHAnsi"/>
          <w:sz w:val="24"/>
          <w:szCs w:val="24"/>
          <w:lang w:val="mi-NZ"/>
        </w:rPr>
        <w:t>ants</w:t>
      </w:r>
      <w:r>
        <w:rPr>
          <w:rFonts w:cstheme="minorHAnsi"/>
          <w:sz w:val="24"/>
          <w:szCs w:val="24"/>
          <w:lang w:val="mi-NZ"/>
        </w:rPr>
        <w:t>]</w:t>
      </w:r>
      <w:r w:rsidR="00F96B66" w:rsidRPr="006D30E6">
        <w:rPr>
          <w:rFonts w:cstheme="minorHAnsi"/>
          <w:sz w:val="24"/>
          <w:szCs w:val="24"/>
          <w:lang w:val="mi-NZ"/>
        </w:rPr>
        <w:t xml:space="preserve"> </w:t>
      </w:r>
      <w:r w:rsidR="006A730F">
        <w:rPr>
          <w:rFonts w:cstheme="minorHAnsi"/>
          <w:sz w:val="24"/>
          <w:szCs w:val="24"/>
          <w:lang w:val="mi-NZ"/>
        </w:rPr>
        <w:t xml:space="preserve">became </w:t>
      </w:r>
      <w:r w:rsidR="00F96B66" w:rsidRPr="006D30E6">
        <w:rPr>
          <w:rFonts w:cstheme="minorHAnsi"/>
          <w:sz w:val="24"/>
          <w:szCs w:val="24"/>
          <w:lang w:val="mi-NZ"/>
        </w:rPr>
        <w:t xml:space="preserve">witnesses </w:t>
      </w:r>
      <w:r w:rsidR="007F2326" w:rsidRPr="006D30E6">
        <w:rPr>
          <w:rFonts w:cstheme="minorHAnsi"/>
          <w:sz w:val="24"/>
          <w:szCs w:val="24"/>
          <w:lang w:val="mi-NZ"/>
        </w:rPr>
        <w:t xml:space="preserve">in </w:t>
      </w:r>
      <w:r w:rsidR="00F96B66" w:rsidRPr="006D30E6">
        <w:rPr>
          <w:rFonts w:cstheme="minorHAnsi"/>
          <w:sz w:val="24"/>
          <w:szCs w:val="24"/>
          <w:lang w:val="mi-NZ"/>
        </w:rPr>
        <w:t>c</w:t>
      </w:r>
      <w:r w:rsidR="007F2326" w:rsidRPr="006D30E6">
        <w:rPr>
          <w:rFonts w:cstheme="minorHAnsi"/>
          <w:sz w:val="24"/>
          <w:szCs w:val="24"/>
          <w:lang w:val="mi-NZ"/>
        </w:rPr>
        <w:t>riminal proceedings</w:t>
      </w:r>
      <w:r w:rsidR="00F96B66" w:rsidRPr="006D30E6">
        <w:rPr>
          <w:rFonts w:cstheme="minorHAnsi"/>
          <w:sz w:val="24"/>
          <w:szCs w:val="24"/>
          <w:lang w:val="mi-NZ"/>
        </w:rPr>
        <w:t>;</w:t>
      </w:r>
    </w:p>
    <w:p w14:paraId="0A477E21" w14:textId="37C337E9" w:rsidR="00CF3A2E" w:rsidRPr="006D30E6" w:rsidRDefault="00A703D1" w:rsidP="00980624">
      <w:pPr>
        <w:pStyle w:val="ListParagraph"/>
        <w:numPr>
          <w:ilvl w:val="2"/>
          <w:numId w:val="1"/>
        </w:numPr>
        <w:ind w:left="2268" w:hanging="317"/>
        <w:jc w:val="both"/>
        <w:rPr>
          <w:rFonts w:cstheme="minorHAnsi"/>
          <w:sz w:val="24"/>
          <w:szCs w:val="24"/>
          <w:lang w:val="mi-NZ"/>
        </w:rPr>
      </w:pPr>
      <w:r w:rsidRPr="006D30E6">
        <w:rPr>
          <w:rFonts w:cstheme="minorHAnsi"/>
          <w:sz w:val="24"/>
          <w:szCs w:val="24"/>
          <w:lang w:val="mi-NZ"/>
        </w:rPr>
        <w:t>Ms Hanley reported in her counselling sessions the stress she had caused to her colleagues and the loss of trust and respect she felt amongst her colleagues</w:t>
      </w:r>
      <w:r w:rsidR="00F96B66" w:rsidRPr="006D30E6">
        <w:rPr>
          <w:rFonts w:cstheme="minorHAnsi"/>
          <w:sz w:val="24"/>
          <w:szCs w:val="24"/>
          <w:lang w:val="mi-NZ"/>
        </w:rPr>
        <w:t>;</w:t>
      </w:r>
    </w:p>
    <w:p w14:paraId="1457EB6C" w14:textId="778D4B61" w:rsidR="007F2326" w:rsidRPr="006D30E6" w:rsidRDefault="00F856C9" w:rsidP="00980624">
      <w:pPr>
        <w:pStyle w:val="ListParagraph"/>
        <w:numPr>
          <w:ilvl w:val="2"/>
          <w:numId w:val="1"/>
        </w:numPr>
        <w:ind w:left="2268" w:hanging="317"/>
        <w:jc w:val="both"/>
        <w:rPr>
          <w:rFonts w:cstheme="minorHAnsi"/>
          <w:sz w:val="24"/>
          <w:szCs w:val="24"/>
          <w:lang w:val="mi-NZ"/>
        </w:rPr>
      </w:pPr>
      <w:r w:rsidRPr="006D30E6">
        <w:rPr>
          <w:rFonts w:cstheme="minorHAnsi"/>
          <w:sz w:val="24"/>
          <w:szCs w:val="24"/>
          <w:lang w:val="mi-NZ"/>
        </w:rPr>
        <w:t>Ms Hanley resigned her position and has not worked as a social worker for approximately 19 months.</w:t>
      </w:r>
      <w:r w:rsidR="0086002F" w:rsidRPr="006D30E6">
        <w:rPr>
          <w:rFonts w:cstheme="minorHAnsi"/>
          <w:sz w:val="24"/>
          <w:szCs w:val="24"/>
          <w:lang w:val="mi-NZ"/>
        </w:rPr>
        <w:t xml:space="preserve"> </w:t>
      </w:r>
    </w:p>
    <w:p w14:paraId="48498AAF" w14:textId="77777777" w:rsidR="004A7066" w:rsidRPr="006D30E6" w:rsidRDefault="004A7066" w:rsidP="004A7066">
      <w:pPr>
        <w:pStyle w:val="ListParagraph"/>
        <w:rPr>
          <w:rFonts w:cstheme="minorHAnsi"/>
          <w:sz w:val="24"/>
          <w:szCs w:val="24"/>
          <w:lang w:val="mi-NZ"/>
        </w:rPr>
      </w:pPr>
    </w:p>
    <w:p w14:paraId="60701E5C" w14:textId="373ED615" w:rsidR="004A7066" w:rsidRPr="006D30E6" w:rsidRDefault="004A7066"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 xml:space="preserve">Ms Hanley’s conduct is in breach of principles 1 and 9 of the Code </w:t>
      </w:r>
      <w:r w:rsidR="00F96B66" w:rsidRPr="006D30E6">
        <w:rPr>
          <w:rFonts w:cstheme="minorHAnsi"/>
          <w:sz w:val="24"/>
          <w:szCs w:val="24"/>
          <w:lang w:val="mi-NZ"/>
        </w:rPr>
        <w:t xml:space="preserve">as pleaded, </w:t>
      </w:r>
      <w:r w:rsidRPr="006D30E6">
        <w:rPr>
          <w:rFonts w:cstheme="minorHAnsi"/>
          <w:sz w:val="24"/>
          <w:szCs w:val="24"/>
          <w:lang w:val="mi-NZ"/>
        </w:rPr>
        <w:t>and we agree also that her actions constituted a breach of principle 8.</w:t>
      </w:r>
    </w:p>
    <w:p w14:paraId="7F57278C" w14:textId="77777777" w:rsidR="004A7066" w:rsidRPr="006D30E6" w:rsidRDefault="004A7066" w:rsidP="004A7066">
      <w:pPr>
        <w:pStyle w:val="ListParagraph"/>
        <w:rPr>
          <w:rFonts w:cstheme="minorHAnsi"/>
          <w:sz w:val="24"/>
          <w:szCs w:val="24"/>
          <w:lang w:val="mi-NZ"/>
        </w:rPr>
      </w:pPr>
    </w:p>
    <w:p w14:paraId="3A022521" w14:textId="229F354A" w:rsidR="004A7066" w:rsidRPr="006D30E6" w:rsidRDefault="004A7066" w:rsidP="00D9076C">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Accordingly, s 82(1)(c)(ii) is established.</w:t>
      </w:r>
    </w:p>
    <w:p w14:paraId="0BEF5771" w14:textId="77777777" w:rsidR="007F2326" w:rsidRPr="006D30E6" w:rsidRDefault="007F2326" w:rsidP="00D9076C">
      <w:pPr>
        <w:pStyle w:val="ListParagraph"/>
        <w:ind w:left="567" w:hanging="567"/>
        <w:rPr>
          <w:rFonts w:cstheme="minorHAnsi"/>
          <w:sz w:val="24"/>
          <w:szCs w:val="24"/>
          <w:lang w:val="mi-NZ"/>
        </w:rPr>
      </w:pPr>
    </w:p>
    <w:p w14:paraId="4C44B7A0" w14:textId="7D953D4B" w:rsidR="00AC2FA0" w:rsidRPr="006D30E6" w:rsidRDefault="00F856C9" w:rsidP="00D9076C">
      <w:pPr>
        <w:pStyle w:val="ListParagraph"/>
        <w:ind w:left="567" w:hanging="567"/>
        <w:jc w:val="both"/>
        <w:rPr>
          <w:rFonts w:cstheme="minorHAnsi"/>
          <w:b/>
          <w:bCs/>
          <w:sz w:val="24"/>
          <w:szCs w:val="24"/>
          <w:lang w:val="mi-NZ"/>
        </w:rPr>
      </w:pPr>
      <w:r w:rsidRPr="006D30E6">
        <w:rPr>
          <w:rFonts w:cstheme="minorHAnsi"/>
          <w:b/>
          <w:bCs/>
          <w:sz w:val="24"/>
          <w:szCs w:val="24"/>
          <w:lang w:val="mi-NZ"/>
        </w:rPr>
        <w:t>Penalty</w:t>
      </w:r>
    </w:p>
    <w:p w14:paraId="52017D07" w14:textId="77777777" w:rsidR="00251C83" w:rsidRPr="006D30E6" w:rsidRDefault="00251C83" w:rsidP="00D9076C">
      <w:pPr>
        <w:pStyle w:val="ListParagraph"/>
        <w:ind w:left="567" w:hanging="567"/>
        <w:jc w:val="both"/>
        <w:rPr>
          <w:rFonts w:cstheme="minorHAnsi"/>
          <w:b/>
          <w:bCs/>
          <w:sz w:val="24"/>
          <w:szCs w:val="24"/>
          <w:lang w:val="mi-NZ"/>
        </w:rPr>
      </w:pPr>
    </w:p>
    <w:p w14:paraId="5BDC6F33" w14:textId="403DF528" w:rsidR="00CB0683" w:rsidRPr="006D30E6" w:rsidRDefault="00F96B66" w:rsidP="00D9076C">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As submitted for the PCC, t</w:t>
      </w:r>
      <w:r w:rsidR="00AC2FA0" w:rsidRPr="006D30E6">
        <w:rPr>
          <w:rFonts w:cstheme="minorHAnsi"/>
          <w:sz w:val="24"/>
          <w:szCs w:val="24"/>
          <w:lang w:val="mi-NZ"/>
        </w:rPr>
        <w:t xml:space="preserve">he </w:t>
      </w:r>
      <w:r w:rsidR="00A902FB" w:rsidRPr="006D30E6">
        <w:rPr>
          <w:rFonts w:cstheme="minorHAnsi"/>
          <w:sz w:val="24"/>
          <w:szCs w:val="24"/>
          <w:lang w:val="mi-NZ"/>
        </w:rPr>
        <w:t xml:space="preserve">primary </w:t>
      </w:r>
      <w:r w:rsidR="006D5E86" w:rsidRPr="006D30E6">
        <w:rPr>
          <w:rFonts w:cstheme="minorHAnsi"/>
          <w:sz w:val="24"/>
          <w:szCs w:val="24"/>
          <w:lang w:val="mi-NZ"/>
        </w:rPr>
        <w:t>purpose of</w:t>
      </w:r>
      <w:r w:rsidR="00AC2FA0" w:rsidRPr="006D30E6">
        <w:rPr>
          <w:rFonts w:cstheme="minorHAnsi"/>
          <w:sz w:val="24"/>
          <w:szCs w:val="24"/>
          <w:lang w:val="mi-NZ"/>
        </w:rPr>
        <w:t xml:space="preserve"> the Act is </w:t>
      </w:r>
      <w:r w:rsidR="00FA6803" w:rsidRPr="006D30E6">
        <w:rPr>
          <w:rFonts w:cstheme="minorHAnsi"/>
          <w:sz w:val="24"/>
          <w:szCs w:val="24"/>
          <w:lang w:val="mi-NZ"/>
        </w:rPr>
        <w:t xml:space="preserve">to provide mechanisms </w:t>
      </w:r>
      <w:r w:rsidR="00AC2FA0" w:rsidRPr="006D30E6">
        <w:rPr>
          <w:rFonts w:cstheme="minorHAnsi"/>
          <w:sz w:val="24"/>
          <w:szCs w:val="24"/>
          <w:lang w:val="mi-NZ"/>
        </w:rPr>
        <w:t>for the protection of the public and the maintenance of professional standards</w:t>
      </w:r>
      <w:r w:rsidR="0032634D" w:rsidRPr="006D30E6">
        <w:rPr>
          <w:rFonts w:cstheme="minorHAnsi"/>
          <w:sz w:val="24"/>
          <w:szCs w:val="24"/>
          <w:lang w:val="mi-NZ"/>
        </w:rPr>
        <w:t xml:space="preserve"> by </w:t>
      </w:r>
      <w:r w:rsidR="00251C83" w:rsidRPr="006D30E6">
        <w:rPr>
          <w:rFonts w:cstheme="minorHAnsi"/>
          <w:sz w:val="24"/>
          <w:szCs w:val="24"/>
          <w:lang w:val="mi-NZ"/>
        </w:rPr>
        <w:t>ensuring that social workers are competent and accountable for the way in which they practise</w:t>
      </w:r>
      <w:r w:rsidR="007F2326" w:rsidRPr="006D30E6">
        <w:rPr>
          <w:rStyle w:val="FootnoteReference"/>
          <w:rFonts w:cstheme="minorHAnsi"/>
          <w:sz w:val="24"/>
          <w:szCs w:val="24"/>
          <w:lang w:val="mi-NZ"/>
        </w:rPr>
        <w:footnoteReference w:id="5"/>
      </w:r>
      <w:r w:rsidR="00251C83" w:rsidRPr="006D30E6">
        <w:rPr>
          <w:rFonts w:cstheme="minorHAnsi"/>
          <w:sz w:val="24"/>
          <w:szCs w:val="24"/>
          <w:lang w:val="mi-NZ"/>
        </w:rPr>
        <w:t>.</w:t>
      </w:r>
      <w:r w:rsidR="006D5E86" w:rsidRPr="006D30E6">
        <w:rPr>
          <w:rFonts w:cstheme="minorHAnsi"/>
          <w:sz w:val="24"/>
          <w:szCs w:val="24"/>
          <w:lang w:val="mi-NZ"/>
        </w:rPr>
        <w:t xml:space="preserve"> </w:t>
      </w:r>
      <w:r w:rsidR="007F2326" w:rsidRPr="006D30E6">
        <w:rPr>
          <w:rFonts w:cstheme="minorHAnsi"/>
          <w:sz w:val="24"/>
          <w:szCs w:val="24"/>
          <w:lang w:val="mi-NZ"/>
        </w:rPr>
        <w:t>The Act is also intended to enhance the professionalism of social workers</w:t>
      </w:r>
      <w:r w:rsidR="007F2326" w:rsidRPr="006D30E6">
        <w:rPr>
          <w:rStyle w:val="FootnoteReference"/>
          <w:rFonts w:cstheme="minorHAnsi"/>
          <w:sz w:val="24"/>
          <w:szCs w:val="24"/>
          <w:lang w:val="mi-NZ"/>
        </w:rPr>
        <w:footnoteReference w:id="6"/>
      </w:r>
      <w:r w:rsidR="007F2326" w:rsidRPr="006D30E6">
        <w:rPr>
          <w:rFonts w:cstheme="minorHAnsi"/>
          <w:sz w:val="24"/>
          <w:szCs w:val="24"/>
          <w:lang w:val="mi-NZ"/>
        </w:rPr>
        <w:t xml:space="preserve">. </w:t>
      </w:r>
      <w:r w:rsidR="00717AE9" w:rsidRPr="006D30E6">
        <w:rPr>
          <w:rFonts w:cstheme="minorHAnsi"/>
          <w:sz w:val="24"/>
          <w:szCs w:val="24"/>
          <w:lang w:val="mi-NZ"/>
        </w:rPr>
        <w:t>There are a number of mechanisms under the Act which serve these purposes, and the</w:t>
      </w:r>
      <w:r w:rsidR="00D87898" w:rsidRPr="006D30E6">
        <w:rPr>
          <w:rFonts w:cstheme="minorHAnsi"/>
          <w:sz w:val="24"/>
          <w:szCs w:val="24"/>
          <w:lang w:val="mi-NZ"/>
        </w:rPr>
        <w:t xml:space="preserve"> disciplinary process</w:t>
      </w:r>
      <w:r w:rsidR="007914C5" w:rsidRPr="006D30E6">
        <w:rPr>
          <w:rFonts w:cstheme="minorHAnsi"/>
          <w:sz w:val="24"/>
          <w:szCs w:val="24"/>
          <w:lang w:val="mi-NZ"/>
        </w:rPr>
        <w:t xml:space="preserve"> </w:t>
      </w:r>
      <w:r w:rsidR="00717AE9" w:rsidRPr="006D30E6">
        <w:rPr>
          <w:rFonts w:cstheme="minorHAnsi"/>
          <w:sz w:val="24"/>
          <w:szCs w:val="24"/>
          <w:lang w:val="mi-NZ"/>
        </w:rPr>
        <w:t>is one of these</w:t>
      </w:r>
      <w:r w:rsidR="00B94900" w:rsidRPr="006D30E6">
        <w:rPr>
          <w:rFonts w:cstheme="minorHAnsi"/>
          <w:sz w:val="24"/>
          <w:szCs w:val="24"/>
          <w:lang w:val="mi-NZ"/>
        </w:rPr>
        <w:t>. T</w:t>
      </w:r>
      <w:r w:rsidR="00CB0683" w:rsidRPr="006D30E6">
        <w:rPr>
          <w:rFonts w:cstheme="minorHAnsi"/>
          <w:sz w:val="24"/>
          <w:szCs w:val="24"/>
          <w:lang w:val="mi-NZ"/>
        </w:rPr>
        <w:t xml:space="preserve">he penalties available to </w:t>
      </w:r>
      <w:r w:rsidR="001F360E" w:rsidRPr="006D30E6">
        <w:rPr>
          <w:rFonts w:cstheme="minorHAnsi"/>
          <w:sz w:val="24"/>
          <w:szCs w:val="24"/>
          <w:lang w:val="mi-NZ"/>
        </w:rPr>
        <w:t>the Tribunal</w:t>
      </w:r>
      <w:r w:rsidR="00CB0683" w:rsidRPr="006D30E6">
        <w:rPr>
          <w:rFonts w:cstheme="minorHAnsi"/>
          <w:sz w:val="24"/>
          <w:szCs w:val="24"/>
          <w:lang w:val="mi-NZ"/>
        </w:rPr>
        <w:t xml:space="preserve"> </w:t>
      </w:r>
      <w:r w:rsidR="00C678CD" w:rsidRPr="006D30E6">
        <w:rPr>
          <w:rFonts w:cstheme="minorHAnsi"/>
          <w:sz w:val="24"/>
          <w:szCs w:val="24"/>
          <w:lang w:val="mi-NZ"/>
        </w:rPr>
        <w:t xml:space="preserve">when a charge is made out and the conduct warrants sanction </w:t>
      </w:r>
      <w:r w:rsidR="00CB0683" w:rsidRPr="006D30E6">
        <w:rPr>
          <w:rFonts w:cstheme="minorHAnsi"/>
          <w:sz w:val="24"/>
          <w:szCs w:val="24"/>
          <w:lang w:val="mi-NZ"/>
        </w:rPr>
        <w:t>are set out in s83</w:t>
      </w:r>
      <w:r w:rsidRPr="006D30E6">
        <w:rPr>
          <w:rFonts w:cstheme="minorHAnsi"/>
          <w:sz w:val="24"/>
          <w:szCs w:val="24"/>
          <w:lang w:val="mi-NZ"/>
        </w:rPr>
        <w:t>.</w:t>
      </w:r>
      <w:r w:rsidR="00CB0683" w:rsidRPr="006D30E6">
        <w:rPr>
          <w:rFonts w:cstheme="minorHAnsi"/>
          <w:sz w:val="24"/>
          <w:szCs w:val="24"/>
          <w:lang w:val="mi-NZ"/>
        </w:rPr>
        <w:t xml:space="preserve"> </w:t>
      </w:r>
      <w:r w:rsidR="00BF33CD" w:rsidRPr="006D30E6">
        <w:rPr>
          <w:rFonts w:cstheme="minorHAnsi"/>
          <w:sz w:val="24"/>
          <w:szCs w:val="24"/>
          <w:lang w:val="mi-NZ"/>
        </w:rPr>
        <w:t xml:space="preserve">The PCC submitted that as the </w:t>
      </w:r>
      <w:r w:rsidR="000170EC" w:rsidRPr="006D30E6">
        <w:rPr>
          <w:rFonts w:cstheme="minorHAnsi"/>
          <w:sz w:val="24"/>
          <w:szCs w:val="24"/>
          <w:lang w:val="mi-NZ"/>
        </w:rPr>
        <w:t xml:space="preserve">penalty provisions of the </w:t>
      </w:r>
      <w:r w:rsidR="00BF33CD" w:rsidRPr="006D30E6">
        <w:rPr>
          <w:rFonts w:cstheme="minorHAnsi"/>
          <w:sz w:val="24"/>
          <w:szCs w:val="24"/>
          <w:lang w:val="mi-NZ"/>
        </w:rPr>
        <w:t>Act ha</w:t>
      </w:r>
      <w:r w:rsidR="000170EC" w:rsidRPr="006D30E6">
        <w:rPr>
          <w:rFonts w:cstheme="minorHAnsi"/>
          <w:sz w:val="24"/>
          <w:szCs w:val="24"/>
          <w:lang w:val="mi-NZ"/>
        </w:rPr>
        <w:t>ve</w:t>
      </w:r>
      <w:r w:rsidR="00BF33CD" w:rsidRPr="006D30E6">
        <w:rPr>
          <w:rFonts w:cstheme="minorHAnsi"/>
          <w:sz w:val="24"/>
          <w:szCs w:val="24"/>
          <w:lang w:val="mi-NZ"/>
        </w:rPr>
        <w:t xml:space="preserve"> been amended by the Social Workers Registration Legislation </w:t>
      </w:r>
      <w:r w:rsidR="0035214C" w:rsidRPr="006D30E6">
        <w:rPr>
          <w:rFonts w:cstheme="minorHAnsi"/>
          <w:sz w:val="24"/>
          <w:szCs w:val="24"/>
          <w:lang w:val="mi-NZ"/>
        </w:rPr>
        <w:t xml:space="preserve">Act </w:t>
      </w:r>
      <w:r w:rsidR="00BF33CD" w:rsidRPr="006D30E6">
        <w:rPr>
          <w:rFonts w:cstheme="minorHAnsi"/>
          <w:sz w:val="24"/>
          <w:szCs w:val="24"/>
          <w:lang w:val="mi-NZ"/>
        </w:rPr>
        <w:t>2019</w:t>
      </w:r>
      <w:r w:rsidR="00CF3A2E" w:rsidRPr="006D30E6">
        <w:rPr>
          <w:rFonts w:cstheme="minorHAnsi"/>
          <w:sz w:val="24"/>
          <w:szCs w:val="24"/>
          <w:lang w:val="mi-NZ"/>
        </w:rPr>
        <w:t xml:space="preserve"> </w:t>
      </w:r>
      <w:r w:rsidR="00BF33CD" w:rsidRPr="006D30E6">
        <w:rPr>
          <w:rFonts w:cstheme="minorHAnsi"/>
          <w:sz w:val="24"/>
          <w:szCs w:val="24"/>
          <w:lang w:val="mi-NZ"/>
        </w:rPr>
        <w:t xml:space="preserve">it is appropriate to consider the penalties that were available at the time of the offending. </w:t>
      </w:r>
      <w:r w:rsidR="00CF3A2E" w:rsidRPr="006D30E6">
        <w:rPr>
          <w:rFonts w:cstheme="minorHAnsi"/>
          <w:sz w:val="24"/>
          <w:szCs w:val="24"/>
          <w:lang w:val="mi-NZ"/>
        </w:rPr>
        <w:t xml:space="preserve">In </w:t>
      </w:r>
      <w:r w:rsidR="00B94900" w:rsidRPr="006D30E6">
        <w:rPr>
          <w:rFonts w:cstheme="minorHAnsi"/>
          <w:sz w:val="24"/>
          <w:szCs w:val="24"/>
          <w:lang w:val="mi-NZ"/>
        </w:rPr>
        <w:t xml:space="preserve">light of </w:t>
      </w:r>
      <w:r w:rsidRPr="006D30E6">
        <w:rPr>
          <w:rFonts w:cstheme="minorHAnsi"/>
          <w:sz w:val="24"/>
          <w:szCs w:val="24"/>
          <w:lang w:val="mi-NZ"/>
        </w:rPr>
        <w:t>our findings</w:t>
      </w:r>
      <w:r w:rsidR="00B94900" w:rsidRPr="006D30E6">
        <w:rPr>
          <w:rFonts w:cstheme="minorHAnsi"/>
          <w:sz w:val="24"/>
          <w:szCs w:val="24"/>
          <w:lang w:val="mi-NZ"/>
        </w:rPr>
        <w:t xml:space="preserve"> there is little material difference between what was available at the relevant time and the penalties now </w:t>
      </w:r>
      <w:r w:rsidR="007F2326" w:rsidRPr="006D30E6">
        <w:rPr>
          <w:rFonts w:cstheme="minorHAnsi"/>
          <w:sz w:val="24"/>
          <w:szCs w:val="24"/>
          <w:lang w:val="mi-NZ"/>
        </w:rPr>
        <w:t>provided for</w:t>
      </w:r>
      <w:r w:rsidR="00BF33CD" w:rsidRPr="006D30E6">
        <w:rPr>
          <w:rFonts w:cstheme="minorHAnsi"/>
          <w:sz w:val="24"/>
          <w:szCs w:val="24"/>
          <w:lang w:val="mi-NZ"/>
        </w:rPr>
        <w:t xml:space="preserve">. </w:t>
      </w:r>
    </w:p>
    <w:p w14:paraId="309FCE36" w14:textId="77777777" w:rsidR="003D72F7" w:rsidRPr="006D30E6" w:rsidRDefault="003D72F7" w:rsidP="00D9076C">
      <w:pPr>
        <w:pStyle w:val="ListParagraph"/>
        <w:ind w:left="567" w:hanging="567"/>
        <w:jc w:val="both"/>
        <w:rPr>
          <w:rFonts w:cstheme="minorHAnsi"/>
          <w:sz w:val="24"/>
          <w:szCs w:val="24"/>
          <w:lang w:val="mi-NZ"/>
        </w:rPr>
      </w:pPr>
    </w:p>
    <w:p w14:paraId="3B8A17C5" w14:textId="50291E3C" w:rsidR="00344936" w:rsidRPr="006D30E6" w:rsidRDefault="002E0297" w:rsidP="00D9076C">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 xml:space="preserve">The </w:t>
      </w:r>
      <w:r w:rsidR="007F2326" w:rsidRPr="006D30E6">
        <w:rPr>
          <w:rFonts w:cstheme="minorHAnsi"/>
          <w:sz w:val="24"/>
          <w:szCs w:val="24"/>
          <w:lang w:val="mi-NZ"/>
        </w:rPr>
        <w:t xml:space="preserve">penalty </w:t>
      </w:r>
      <w:r w:rsidR="00B94900" w:rsidRPr="006D30E6">
        <w:rPr>
          <w:rFonts w:cstheme="minorHAnsi"/>
          <w:sz w:val="24"/>
          <w:szCs w:val="24"/>
          <w:lang w:val="mi-NZ"/>
        </w:rPr>
        <w:t>principles are well established,</w:t>
      </w:r>
      <w:r w:rsidR="00CF3A2E" w:rsidRPr="006D30E6">
        <w:rPr>
          <w:rFonts w:cstheme="minorHAnsi"/>
          <w:sz w:val="24"/>
          <w:szCs w:val="24"/>
          <w:lang w:val="mi-NZ"/>
        </w:rPr>
        <w:t xml:space="preserve"> applying</w:t>
      </w:r>
      <w:r w:rsidR="00B94900" w:rsidRPr="006D30E6">
        <w:rPr>
          <w:rFonts w:cstheme="minorHAnsi"/>
          <w:sz w:val="24"/>
          <w:szCs w:val="24"/>
          <w:lang w:val="mi-NZ"/>
        </w:rPr>
        <w:t xml:space="preserve"> the factors set out by Collins J in </w:t>
      </w:r>
      <w:r w:rsidR="00B94900" w:rsidRPr="006D30E6">
        <w:rPr>
          <w:rFonts w:cstheme="minorHAnsi"/>
          <w:i/>
          <w:iCs/>
          <w:sz w:val="24"/>
          <w:szCs w:val="24"/>
          <w:lang w:val="mi-NZ"/>
        </w:rPr>
        <w:t>Roberts v Professional Conduct Committee</w:t>
      </w:r>
      <w:r w:rsidR="00B94900" w:rsidRPr="006D30E6">
        <w:rPr>
          <w:rFonts w:cstheme="minorHAnsi"/>
          <w:sz w:val="24"/>
          <w:szCs w:val="24"/>
          <w:lang w:val="mi-NZ"/>
        </w:rPr>
        <w:t xml:space="preserve"> </w:t>
      </w:r>
      <w:r w:rsidR="00BE6A28" w:rsidRPr="006D30E6">
        <w:rPr>
          <w:rFonts w:cstheme="minorHAnsi"/>
          <w:i/>
          <w:iCs/>
          <w:sz w:val="24"/>
          <w:szCs w:val="24"/>
          <w:lang w:val="mi-NZ"/>
        </w:rPr>
        <w:t>of the Nursing Council of New Zealand</w:t>
      </w:r>
      <w:r w:rsidR="007F2326" w:rsidRPr="006D30E6">
        <w:rPr>
          <w:rStyle w:val="FootnoteReference"/>
          <w:rFonts w:cstheme="minorHAnsi"/>
          <w:i/>
          <w:iCs/>
          <w:sz w:val="24"/>
          <w:szCs w:val="24"/>
          <w:lang w:val="mi-NZ"/>
        </w:rPr>
        <w:footnoteReference w:id="7"/>
      </w:r>
      <w:r w:rsidR="007F2326" w:rsidRPr="006D30E6">
        <w:rPr>
          <w:rFonts w:cstheme="minorHAnsi"/>
          <w:i/>
          <w:iCs/>
          <w:sz w:val="24"/>
          <w:szCs w:val="24"/>
          <w:lang w:val="mi-NZ"/>
        </w:rPr>
        <w:t xml:space="preserve"> </w:t>
      </w:r>
      <w:r w:rsidR="00BE6A28" w:rsidRPr="006D30E6">
        <w:rPr>
          <w:rFonts w:cstheme="minorHAnsi"/>
          <w:sz w:val="24"/>
          <w:szCs w:val="24"/>
          <w:lang w:val="mi-NZ"/>
        </w:rPr>
        <w:t>namely:</w:t>
      </w:r>
    </w:p>
    <w:p w14:paraId="615BB13D" w14:textId="77777777" w:rsidR="00BE6A28" w:rsidRPr="006D30E6" w:rsidRDefault="00BE6A28" w:rsidP="00D9076C">
      <w:pPr>
        <w:pStyle w:val="ListParagraph"/>
        <w:ind w:left="567" w:hanging="567"/>
        <w:jc w:val="both"/>
        <w:rPr>
          <w:rFonts w:cstheme="minorHAnsi"/>
          <w:sz w:val="24"/>
          <w:szCs w:val="24"/>
          <w:lang w:val="mi-NZ"/>
        </w:rPr>
      </w:pPr>
    </w:p>
    <w:p w14:paraId="038D5DFF" w14:textId="5BD4BA40" w:rsidR="00BE6A28" w:rsidRPr="006D30E6" w:rsidRDefault="00CF3A2E"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t</w:t>
      </w:r>
      <w:r w:rsidR="00BE6A28" w:rsidRPr="006D30E6">
        <w:rPr>
          <w:rFonts w:cstheme="minorHAnsi"/>
          <w:sz w:val="24"/>
          <w:szCs w:val="24"/>
          <w:lang w:val="mi-NZ"/>
        </w:rPr>
        <w:t>he protection of the public, including deterring others from acting in the same way</w:t>
      </w:r>
      <w:r w:rsidR="005E2B20" w:rsidRPr="006D30E6">
        <w:rPr>
          <w:rFonts w:cstheme="minorHAnsi"/>
          <w:sz w:val="24"/>
          <w:szCs w:val="24"/>
          <w:lang w:val="mi-NZ"/>
        </w:rPr>
        <w:t>;</w:t>
      </w:r>
    </w:p>
    <w:p w14:paraId="56F4DE5A" w14:textId="77777777" w:rsidR="00B94900" w:rsidRPr="006D30E6" w:rsidRDefault="00B94900" w:rsidP="00D9076C">
      <w:pPr>
        <w:pStyle w:val="ListParagraph"/>
        <w:ind w:left="1701" w:hanging="567"/>
        <w:jc w:val="both"/>
        <w:rPr>
          <w:rFonts w:cstheme="minorHAnsi"/>
          <w:sz w:val="24"/>
          <w:szCs w:val="24"/>
          <w:lang w:val="mi-NZ"/>
        </w:rPr>
      </w:pPr>
    </w:p>
    <w:p w14:paraId="51AD0E7B" w14:textId="18651C32" w:rsidR="00BE6A28" w:rsidRPr="006D30E6" w:rsidRDefault="00CF3A2E"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to</w:t>
      </w:r>
      <w:r w:rsidR="00BE6A28" w:rsidRPr="006D30E6">
        <w:rPr>
          <w:rFonts w:cstheme="minorHAnsi"/>
          <w:sz w:val="24"/>
          <w:szCs w:val="24"/>
          <w:lang w:val="mi-NZ"/>
        </w:rPr>
        <w:t xml:space="preserve"> set professional standards</w:t>
      </w:r>
      <w:r w:rsidR="005E2B20" w:rsidRPr="006D30E6">
        <w:rPr>
          <w:rFonts w:cstheme="minorHAnsi"/>
          <w:sz w:val="24"/>
          <w:szCs w:val="24"/>
          <w:lang w:val="mi-NZ"/>
        </w:rPr>
        <w:t>;</w:t>
      </w:r>
    </w:p>
    <w:p w14:paraId="215BCC0E" w14:textId="77777777" w:rsidR="00B94900" w:rsidRPr="006D30E6" w:rsidRDefault="00B94900" w:rsidP="00D9076C">
      <w:pPr>
        <w:pStyle w:val="ListParagraph"/>
        <w:ind w:left="1701" w:hanging="567"/>
        <w:rPr>
          <w:rFonts w:cstheme="minorHAnsi"/>
          <w:sz w:val="24"/>
          <w:szCs w:val="24"/>
          <w:lang w:val="mi-NZ"/>
        </w:rPr>
      </w:pPr>
    </w:p>
    <w:p w14:paraId="17BB5C68" w14:textId="63DE6391" w:rsidR="00BE6A28" w:rsidRPr="006D30E6" w:rsidRDefault="00CF3A2E"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that</w:t>
      </w:r>
      <w:r w:rsidR="00BF2084" w:rsidRPr="006D30E6">
        <w:rPr>
          <w:rFonts w:cstheme="minorHAnsi"/>
          <w:sz w:val="24"/>
          <w:szCs w:val="24"/>
          <w:lang w:val="mi-NZ"/>
        </w:rPr>
        <w:t xml:space="preserve"> penalties may have a</w:t>
      </w:r>
      <w:r w:rsidR="00BE6A28" w:rsidRPr="006D30E6">
        <w:rPr>
          <w:rFonts w:cstheme="minorHAnsi"/>
          <w:sz w:val="24"/>
          <w:szCs w:val="24"/>
          <w:lang w:val="mi-NZ"/>
        </w:rPr>
        <w:t xml:space="preserve"> punitive function</w:t>
      </w:r>
      <w:r w:rsidR="00F96B66" w:rsidRPr="006D30E6">
        <w:rPr>
          <w:rFonts w:cstheme="minorHAnsi"/>
          <w:sz w:val="24"/>
          <w:szCs w:val="24"/>
          <w:lang w:val="mi-NZ"/>
        </w:rPr>
        <w:t>,</w:t>
      </w:r>
      <w:r w:rsidR="00BE6A28" w:rsidRPr="006D30E6">
        <w:rPr>
          <w:rFonts w:cstheme="minorHAnsi"/>
          <w:sz w:val="24"/>
          <w:szCs w:val="24"/>
          <w:lang w:val="mi-NZ"/>
        </w:rPr>
        <w:t xml:space="preserve"> through the imposition of a </w:t>
      </w:r>
      <w:r w:rsidR="00BF2084" w:rsidRPr="006D30E6">
        <w:rPr>
          <w:rFonts w:cstheme="minorHAnsi"/>
          <w:sz w:val="24"/>
          <w:szCs w:val="24"/>
          <w:lang w:val="mi-NZ"/>
        </w:rPr>
        <w:t xml:space="preserve">censure </w:t>
      </w:r>
      <w:r w:rsidR="00BE6A28" w:rsidRPr="006D30E6">
        <w:rPr>
          <w:rFonts w:cstheme="minorHAnsi"/>
          <w:sz w:val="24"/>
          <w:szCs w:val="24"/>
          <w:lang w:val="mi-NZ"/>
        </w:rPr>
        <w:t>or fine</w:t>
      </w:r>
      <w:r w:rsidR="00F96B66" w:rsidRPr="006D30E6">
        <w:rPr>
          <w:rFonts w:cstheme="minorHAnsi"/>
          <w:sz w:val="24"/>
          <w:szCs w:val="24"/>
          <w:lang w:val="mi-NZ"/>
        </w:rPr>
        <w:t>, but this is not the primary purpose of penalty</w:t>
      </w:r>
      <w:r w:rsidR="005E2B20" w:rsidRPr="006D30E6">
        <w:rPr>
          <w:rFonts w:cstheme="minorHAnsi"/>
          <w:sz w:val="24"/>
          <w:szCs w:val="24"/>
          <w:lang w:val="mi-NZ"/>
        </w:rPr>
        <w:t>;</w:t>
      </w:r>
    </w:p>
    <w:p w14:paraId="446BFAFB" w14:textId="77777777" w:rsidR="00B94900" w:rsidRPr="006D30E6" w:rsidRDefault="00B94900" w:rsidP="00D9076C">
      <w:pPr>
        <w:pStyle w:val="ListParagraph"/>
        <w:ind w:left="1701" w:hanging="567"/>
        <w:rPr>
          <w:rFonts w:cstheme="minorHAnsi"/>
          <w:sz w:val="24"/>
          <w:szCs w:val="24"/>
          <w:lang w:val="mi-NZ"/>
        </w:rPr>
      </w:pPr>
    </w:p>
    <w:p w14:paraId="0C4BAF10" w14:textId="588C356A" w:rsidR="00BE6A28" w:rsidRPr="006D30E6" w:rsidRDefault="00CF3A2E"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r</w:t>
      </w:r>
      <w:r w:rsidR="00BE6A28" w:rsidRPr="006D30E6">
        <w:rPr>
          <w:rFonts w:cstheme="minorHAnsi"/>
          <w:sz w:val="24"/>
          <w:szCs w:val="24"/>
          <w:lang w:val="mi-NZ"/>
        </w:rPr>
        <w:t>ehabilitation of the practitioner, where appropriate</w:t>
      </w:r>
      <w:r w:rsidR="005E2B20" w:rsidRPr="006D30E6">
        <w:rPr>
          <w:rFonts w:cstheme="minorHAnsi"/>
          <w:sz w:val="24"/>
          <w:szCs w:val="24"/>
          <w:lang w:val="mi-NZ"/>
        </w:rPr>
        <w:t>;</w:t>
      </w:r>
    </w:p>
    <w:p w14:paraId="46B62214" w14:textId="77777777" w:rsidR="00B94900" w:rsidRPr="006D30E6" w:rsidRDefault="00B94900" w:rsidP="00D9076C">
      <w:pPr>
        <w:pStyle w:val="ListParagraph"/>
        <w:ind w:left="1701" w:hanging="567"/>
        <w:rPr>
          <w:rFonts w:cstheme="minorHAnsi"/>
          <w:sz w:val="24"/>
          <w:szCs w:val="24"/>
          <w:lang w:val="mi-NZ"/>
        </w:rPr>
      </w:pPr>
    </w:p>
    <w:p w14:paraId="2DB0AB58" w14:textId="1EFA4699" w:rsidR="00BE6A28" w:rsidRPr="006D30E6" w:rsidRDefault="00CF3A2E"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to</w:t>
      </w:r>
      <w:r w:rsidR="00BE6A28" w:rsidRPr="006D30E6">
        <w:rPr>
          <w:rFonts w:cstheme="minorHAnsi"/>
          <w:sz w:val="24"/>
          <w:szCs w:val="24"/>
          <w:lang w:val="mi-NZ"/>
        </w:rPr>
        <w:t xml:space="preserve"> impose penalties that are comparable to those imposed in similar circumstances</w:t>
      </w:r>
      <w:r w:rsidR="005E2B20" w:rsidRPr="006D30E6">
        <w:rPr>
          <w:rFonts w:cstheme="minorHAnsi"/>
          <w:sz w:val="24"/>
          <w:szCs w:val="24"/>
          <w:lang w:val="mi-NZ"/>
        </w:rPr>
        <w:t>;</w:t>
      </w:r>
    </w:p>
    <w:p w14:paraId="46213D77" w14:textId="77777777" w:rsidR="00B94900" w:rsidRPr="006D30E6" w:rsidRDefault="00B94900" w:rsidP="00D9076C">
      <w:pPr>
        <w:pStyle w:val="ListParagraph"/>
        <w:ind w:left="1701" w:hanging="567"/>
        <w:rPr>
          <w:rFonts w:cstheme="minorHAnsi"/>
          <w:sz w:val="24"/>
          <w:szCs w:val="24"/>
          <w:lang w:val="mi-NZ"/>
        </w:rPr>
      </w:pPr>
    </w:p>
    <w:p w14:paraId="52E25526" w14:textId="11634769" w:rsidR="00BE6A28" w:rsidRPr="006D30E6" w:rsidRDefault="00CF3A2E"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to</w:t>
      </w:r>
      <w:r w:rsidR="00BE6A28" w:rsidRPr="006D30E6">
        <w:rPr>
          <w:rFonts w:cstheme="minorHAnsi"/>
          <w:sz w:val="24"/>
          <w:szCs w:val="24"/>
          <w:lang w:val="mi-NZ"/>
        </w:rPr>
        <w:t xml:space="preserve"> reserve the maximum penalties for the worst offending</w:t>
      </w:r>
      <w:r w:rsidR="005E2B20" w:rsidRPr="006D30E6">
        <w:rPr>
          <w:rFonts w:cstheme="minorHAnsi"/>
          <w:sz w:val="24"/>
          <w:szCs w:val="24"/>
          <w:lang w:val="mi-NZ"/>
        </w:rPr>
        <w:t>;</w:t>
      </w:r>
    </w:p>
    <w:p w14:paraId="5E962B08" w14:textId="77777777" w:rsidR="00B94900" w:rsidRPr="006D30E6" w:rsidRDefault="00B94900" w:rsidP="00D9076C">
      <w:pPr>
        <w:pStyle w:val="ListParagraph"/>
        <w:ind w:left="1701" w:hanging="567"/>
        <w:rPr>
          <w:rFonts w:cstheme="minorHAnsi"/>
          <w:sz w:val="24"/>
          <w:szCs w:val="24"/>
          <w:lang w:val="mi-NZ"/>
        </w:rPr>
      </w:pPr>
    </w:p>
    <w:p w14:paraId="3CC4DF9E" w14:textId="4F05DC01" w:rsidR="00BE6A28" w:rsidRPr="006D30E6" w:rsidRDefault="00CF3A2E"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to</w:t>
      </w:r>
      <w:r w:rsidR="00BE6A28" w:rsidRPr="006D30E6">
        <w:rPr>
          <w:rFonts w:cstheme="minorHAnsi"/>
          <w:sz w:val="24"/>
          <w:szCs w:val="24"/>
          <w:lang w:val="mi-NZ"/>
        </w:rPr>
        <w:t xml:space="preserve"> impose the least restrictive penalty in the circumstances</w:t>
      </w:r>
      <w:r w:rsidR="005E2B20" w:rsidRPr="006D30E6">
        <w:rPr>
          <w:rFonts w:cstheme="minorHAnsi"/>
          <w:sz w:val="24"/>
          <w:szCs w:val="24"/>
          <w:lang w:val="mi-NZ"/>
        </w:rPr>
        <w:t>;</w:t>
      </w:r>
    </w:p>
    <w:p w14:paraId="333A03D9" w14:textId="77777777" w:rsidR="00B94900" w:rsidRPr="006D30E6" w:rsidRDefault="00B94900" w:rsidP="00D9076C">
      <w:pPr>
        <w:pStyle w:val="ListParagraph"/>
        <w:ind w:left="1701" w:hanging="567"/>
        <w:rPr>
          <w:rFonts w:cstheme="minorHAnsi"/>
          <w:sz w:val="24"/>
          <w:szCs w:val="24"/>
          <w:lang w:val="mi-NZ"/>
        </w:rPr>
      </w:pPr>
    </w:p>
    <w:p w14:paraId="05006A81" w14:textId="310CF2FF" w:rsidR="00BE6A28" w:rsidRPr="006D30E6" w:rsidRDefault="00CF3A2E"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to</w:t>
      </w:r>
      <w:r w:rsidR="00BE6A28" w:rsidRPr="006D30E6">
        <w:rPr>
          <w:rFonts w:cstheme="minorHAnsi"/>
          <w:sz w:val="24"/>
          <w:szCs w:val="24"/>
          <w:lang w:val="mi-NZ"/>
        </w:rPr>
        <w:t xml:space="preserve"> assess whether the penalty is a fair, reasonable and proportionate one in all the circumstances.</w:t>
      </w:r>
    </w:p>
    <w:p w14:paraId="3BBEB1B7" w14:textId="77777777" w:rsidR="00344936" w:rsidRPr="006D30E6" w:rsidRDefault="00344936" w:rsidP="00B91164">
      <w:pPr>
        <w:pStyle w:val="ListParagraph"/>
        <w:jc w:val="both"/>
        <w:rPr>
          <w:rFonts w:cstheme="minorHAnsi"/>
          <w:sz w:val="24"/>
          <w:szCs w:val="24"/>
          <w:lang w:val="mi-NZ"/>
        </w:rPr>
      </w:pPr>
    </w:p>
    <w:p w14:paraId="293BC305" w14:textId="38B5DDAE" w:rsidR="00EF0CC1" w:rsidRPr="006D30E6" w:rsidRDefault="00EF0CC1" w:rsidP="00D9076C">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 xml:space="preserve">The PCC submitted </w:t>
      </w:r>
      <w:r w:rsidR="00C678CD" w:rsidRPr="006D30E6">
        <w:rPr>
          <w:rFonts w:cstheme="minorHAnsi"/>
          <w:sz w:val="24"/>
          <w:szCs w:val="24"/>
          <w:lang w:val="mi-NZ"/>
        </w:rPr>
        <w:t>the following penalties</w:t>
      </w:r>
      <w:r w:rsidR="00CF3A2E" w:rsidRPr="006D30E6">
        <w:rPr>
          <w:rFonts w:cstheme="minorHAnsi"/>
          <w:sz w:val="24"/>
          <w:szCs w:val="24"/>
          <w:lang w:val="mi-NZ"/>
        </w:rPr>
        <w:t xml:space="preserve"> </w:t>
      </w:r>
      <w:r w:rsidR="00F96B66" w:rsidRPr="006D30E6">
        <w:rPr>
          <w:rFonts w:cstheme="minorHAnsi"/>
          <w:sz w:val="24"/>
          <w:szCs w:val="24"/>
          <w:lang w:val="mi-NZ"/>
        </w:rPr>
        <w:t>were appropriate for Ms Hanley</w:t>
      </w:r>
      <w:r w:rsidRPr="006D30E6">
        <w:rPr>
          <w:rFonts w:cstheme="minorHAnsi"/>
          <w:sz w:val="24"/>
          <w:szCs w:val="24"/>
          <w:lang w:val="mi-NZ"/>
        </w:rPr>
        <w:t xml:space="preserve">: </w:t>
      </w:r>
    </w:p>
    <w:p w14:paraId="51DF2D40" w14:textId="77777777" w:rsidR="00EF0CC1" w:rsidRPr="006D30E6" w:rsidRDefault="00EF0CC1" w:rsidP="00EF0CC1">
      <w:pPr>
        <w:pStyle w:val="ListParagraph"/>
        <w:jc w:val="both"/>
        <w:rPr>
          <w:rFonts w:cstheme="minorHAnsi"/>
          <w:sz w:val="24"/>
          <w:szCs w:val="24"/>
          <w:lang w:val="mi-NZ"/>
        </w:rPr>
      </w:pPr>
    </w:p>
    <w:p w14:paraId="63B8EA3B" w14:textId="295470E2" w:rsidR="00EF0CC1" w:rsidRPr="006D30E6" w:rsidRDefault="00EF0CC1"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Censure</w:t>
      </w:r>
      <w:r w:rsidR="00C678CD" w:rsidRPr="006D30E6">
        <w:rPr>
          <w:rFonts w:cstheme="minorHAnsi"/>
          <w:sz w:val="24"/>
          <w:szCs w:val="24"/>
          <w:lang w:val="mi-NZ"/>
        </w:rPr>
        <w:t xml:space="preserve"> (pursuant to s 83(1</w:t>
      </w:r>
      <w:r w:rsidR="00CF3A2E" w:rsidRPr="006D30E6">
        <w:rPr>
          <w:rFonts w:cstheme="minorHAnsi"/>
          <w:sz w:val="24"/>
          <w:szCs w:val="24"/>
          <w:lang w:val="mi-NZ"/>
        </w:rPr>
        <w:t>)</w:t>
      </w:r>
      <w:r w:rsidR="00C678CD" w:rsidRPr="006D30E6">
        <w:rPr>
          <w:rFonts w:cstheme="minorHAnsi"/>
          <w:sz w:val="24"/>
          <w:szCs w:val="24"/>
          <w:lang w:val="mi-NZ"/>
        </w:rPr>
        <w:t>(b)); and</w:t>
      </w:r>
    </w:p>
    <w:p w14:paraId="6907F116" w14:textId="77777777" w:rsidR="00EF0CC1" w:rsidRPr="006D30E6" w:rsidRDefault="00EF0CC1" w:rsidP="00D9076C">
      <w:pPr>
        <w:pStyle w:val="ListParagraph"/>
        <w:ind w:left="1701" w:hanging="567"/>
        <w:jc w:val="both"/>
        <w:rPr>
          <w:rFonts w:cstheme="minorHAnsi"/>
          <w:sz w:val="24"/>
          <w:szCs w:val="24"/>
          <w:lang w:val="mi-NZ"/>
        </w:rPr>
      </w:pPr>
    </w:p>
    <w:p w14:paraId="0B854D4F" w14:textId="0EC663D3" w:rsidR="00EF0CC1" w:rsidRPr="006D30E6" w:rsidRDefault="00C678CD"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Imposition of the following c</w:t>
      </w:r>
      <w:r w:rsidR="00EF0CC1" w:rsidRPr="006D30E6">
        <w:rPr>
          <w:rFonts w:cstheme="minorHAnsi"/>
          <w:sz w:val="24"/>
          <w:szCs w:val="24"/>
          <w:lang w:val="mi-NZ"/>
        </w:rPr>
        <w:t>onditions</w:t>
      </w:r>
      <w:r w:rsidRPr="006D30E6">
        <w:rPr>
          <w:rFonts w:cstheme="minorHAnsi"/>
          <w:sz w:val="24"/>
          <w:szCs w:val="24"/>
          <w:lang w:val="mi-NZ"/>
        </w:rPr>
        <w:t xml:space="preserve"> (pursuant to s 83(1)(a)(ii))</w:t>
      </w:r>
      <w:r w:rsidR="00EF0CC1" w:rsidRPr="006D30E6">
        <w:rPr>
          <w:rFonts w:cstheme="minorHAnsi"/>
          <w:sz w:val="24"/>
          <w:szCs w:val="24"/>
          <w:lang w:val="mi-NZ"/>
        </w:rPr>
        <w:t xml:space="preserve">: </w:t>
      </w:r>
    </w:p>
    <w:p w14:paraId="772B4749" w14:textId="77777777" w:rsidR="00EF0CC1" w:rsidRPr="006D30E6" w:rsidRDefault="00EF0CC1" w:rsidP="00D9076C">
      <w:pPr>
        <w:pStyle w:val="ListParagraph"/>
        <w:ind w:left="1701" w:hanging="567"/>
        <w:rPr>
          <w:rFonts w:cstheme="minorHAnsi"/>
          <w:sz w:val="24"/>
          <w:szCs w:val="24"/>
          <w:lang w:val="mi-NZ"/>
        </w:rPr>
      </w:pPr>
    </w:p>
    <w:p w14:paraId="53C74BED" w14:textId="2231F7A9" w:rsidR="00EF0CC1" w:rsidRPr="006D30E6" w:rsidRDefault="00EF0CC1" w:rsidP="00D9076C">
      <w:pPr>
        <w:pStyle w:val="ListParagraph"/>
        <w:numPr>
          <w:ilvl w:val="2"/>
          <w:numId w:val="1"/>
        </w:numPr>
        <w:ind w:left="2268" w:hanging="283"/>
        <w:jc w:val="both"/>
        <w:rPr>
          <w:rFonts w:cstheme="minorHAnsi"/>
          <w:sz w:val="24"/>
          <w:szCs w:val="24"/>
          <w:lang w:val="mi-NZ"/>
        </w:rPr>
      </w:pPr>
      <w:r w:rsidRPr="006D30E6">
        <w:rPr>
          <w:rFonts w:cstheme="minorHAnsi"/>
          <w:sz w:val="24"/>
          <w:szCs w:val="24"/>
          <w:lang w:val="mi-NZ"/>
        </w:rPr>
        <w:t>T</w:t>
      </w:r>
      <w:r w:rsidR="00C678CD" w:rsidRPr="006D30E6">
        <w:rPr>
          <w:rFonts w:cstheme="minorHAnsi"/>
          <w:sz w:val="24"/>
          <w:szCs w:val="24"/>
          <w:lang w:val="mi-NZ"/>
        </w:rPr>
        <w:t xml:space="preserve">o be under the </w:t>
      </w:r>
      <w:r w:rsidRPr="006D30E6">
        <w:rPr>
          <w:rFonts w:cstheme="minorHAnsi"/>
          <w:sz w:val="24"/>
          <w:szCs w:val="24"/>
          <w:lang w:val="mi-NZ"/>
        </w:rPr>
        <w:t xml:space="preserve">supervision of a senior social worker </w:t>
      </w:r>
      <w:r w:rsidR="00C678CD" w:rsidRPr="006D30E6">
        <w:rPr>
          <w:rFonts w:cstheme="minorHAnsi"/>
          <w:sz w:val="24"/>
          <w:szCs w:val="24"/>
          <w:lang w:val="mi-NZ"/>
        </w:rPr>
        <w:t xml:space="preserve">(to be </w:t>
      </w:r>
      <w:r w:rsidRPr="006D30E6">
        <w:rPr>
          <w:rFonts w:cstheme="minorHAnsi"/>
          <w:sz w:val="24"/>
          <w:szCs w:val="24"/>
          <w:lang w:val="mi-NZ"/>
        </w:rPr>
        <w:t>approved by the</w:t>
      </w:r>
      <w:r w:rsidR="00C678CD" w:rsidRPr="006D30E6">
        <w:rPr>
          <w:rFonts w:cstheme="minorHAnsi"/>
          <w:sz w:val="24"/>
          <w:szCs w:val="24"/>
          <w:lang w:val="mi-NZ"/>
        </w:rPr>
        <w:t xml:space="preserve"> Social Workers B</w:t>
      </w:r>
      <w:r w:rsidRPr="006D30E6">
        <w:rPr>
          <w:rFonts w:cstheme="minorHAnsi"/>
          <w:sz w:val="24"/>
          <w:szCs w:val="24"/>
          <w:lang w:val="mi-NZ"/>
        </w:rPr>
        <w:t>oard</w:t>
      </w:r>
      <w:r w:rsidR="00C678CD" w:rsidRPr="006D30E6">
        <w:rPr>
          <w:rFonts w:cstheme="minorHAnsi"/>
          <w:sz w:val="24"/>
          <w:szCs w:val="24"/>
          <w:lang w:val="mi-NZ"/>
        </w:rPr>
        <w:t>) -</w:t>
      </w:r>
      <w:r w:rsidRPr="006D30E6">
        <w:rPr>
          <w:rFonts w:cstheme="minorHAnsi"/>
          <w:sz w:val="24"/>
          <w:szCs w:val="24"/>
          <w:lang w:val="mi-NZ"/>
        </w:rPr>
        <w:t xml:space="preserve"> for a period of 2 years;</w:t>
      </w:r>
      <w:r w:rsidR="00C678CD" w:rsidRPr="006D30E6">
        <w:rPr>
          <w:rFonts w:cstheme="minorHAnsi"/>
          <w:sz w:val="24"/>
          <w:szCs w:val="24"/>
          <w:lang w:val="mi-NZ"/>
        </w:rPr>
        <w:t xml:space="preserve"> and</w:t>
      </w:r>
    </w:p>
    <w:p w14:paraId="0400D6CC" w14:textId="77777777" w:rsidR="00EF0CC1" w:rsidRPr="006D30E6" w:rsidRDefault="00EF0CC1" w:rsidP="00EF0CC1">
      <w:pPr>
        <w:pStyle w:val="ListParagraph"/>
        <w:ind w:left="2160"/>
        <w:jc w:val="both"/>
        <w:rPr>
          <w:rFonts w:cstheme="minorHAnsi"/>
          <w:sz w:val="24"/>
          <w:szCs w:val="24"/>
          <w:lang w:val="mi-NZ"/>
        </w:rPr>
      </w:pPr>
    </w:p>
    <w:p w14:paraId="71692A2C" w14:textId="4D01B439" w:rsidR="00EF0CC1" w:rsidRPr="006D30E6" w:rsidRDefault="00EF0CC1" w:rsidP="00EF0CC1">
      <w:pPr>
        <w:pStyle w:val="ListParagraph"/>
        <w:numPr>
          <w:ilvl w:val="2"/>
          <w:numId w:val="1"/>
        </w:numPr>
        <w:jc w:val="both"/>
        <w:rPr>
          <w:rFonts w:cstheme="minorHAnsi"/>
          <w:sz w:val="24"/>
          <w:szCs w:val="24"/>
          <w:lang w:val="mi-NZ"/>
        </w:rPr>
      </w:pPr>
      <w:r w:rsidRPr="006D30E6">
        <w:rPr>
          <w:rFonts w:cstheme="minorHAnsi"/>
          <w:sz w:val="24"/>
          <w:szCs w:val="24"/>
          <w:lang w:val="mi-NZ"/>
        </w:rPr>
        <w:t>T</w:t>
      </w:r>
      <w:r w:rsidR="00C678CD" w:rsidRPr="006D30E6">
        <w:rPr>
          <w:rFonts w:cstheme="minorHAnsi"/>
          <w:sz w:val="24"/>
          <w:szCs w:val="24"/>
          <w:lang w:val="mi-NZ"/>
        </w:rPr>
        <w:t xml:space="preserve">o </w:t>
      </w:r>
      <w:r w:rsidRPr="006D30E6">
        <w:rPr>
          <w:rFonts w:cstheme="minorHAnsi"/>
          <w:sz w:val="24"/>
          <w:szCs w:val="24"/>
          <w:lang w:val="mi-NZ"/>
        </w:rPr>
        <w:t>advise any employer or prospective employer of the proceeding and the Tribunal’s decision</w:t>
      </w:r>
      <w:r w:rsidR="00C678CD" w:rsidRPr="006D30E6">
        <w:rPr>
          <w:rFonts w:cstheme="minorHAnsi"/>
          <w:sz w:val="24"/>
          <w:szCs w:val="24"/>
          <w:lang w:val="mi-NZ"/>
        </w:rPr>
        <w:t xml:space="preserve"> -</w:t>
      </w:r>
      <w:r w:rsidRPr="006D30E6">
        <w:rPr>
          <w:rFonts w:cstheme="minorHAnsi"/>
          <w:sz w:val="24"/>
          <w:szCs w:val="24"/>
          <w:lang w:val="mi-NZ"/>
        </w:rPr>
        <w:t xml:space="preserve"> for a period of 2 years;</w:t>
      </w:r>
    </w:p>
    <w:p w14:paraId="5507EB85" w14:textId="77777777" w:rsidR="00EF0CC1" w:rsidRPr="006D30E6" w:rsidRDefault="00EF0CC1" w:rsidP="00EF0CC1">
      <w:pPr>
        <w:pStyle w:val="ListParagraph"/>
        <w:ind w:left="2160"/>
        <w:jc w:val="both"/>
        <w:rPr>
          <w:rFonts w:cstheme="minorHAnsi"/>
          <w:sz w:val="24"/>
          <w:szCs w:val="24"/>
          <w:lang w:val="mi-NZ"/>
        </w:rPr>
      </w:pPr>
    </w:p>
    <w:p w14:paraId="65772DA9" w14:textId="7AC484EF" w:rsidR="00EF0CC1" w:rsidRPr="006D30E6" w:rsidRDefault="00EF0CC1"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Costs</w:t>
      </w:r>
      <w:r w:rsidR="00C678CD" w:rsidRPr="006D30E6">
        <w:rPr>
          <w:rFonts w:cstheme="minorHAnsi"/>
          <w:sz w:val="24"/>
          <w:szCs w:val="24"/>
          <w:lang w:val="mi-NZ"/>
        </w:rPr>
        <w:t xml:space="preserve"> (pursuant to s 83(1)(e)(ii)).</w:t>
      </w:r>
    </w:p>
    <w:p w14:paraId="602CB943" w14:textId="77777777" w:rsidR="00C678CD" w:rsidRPr="006D30E6" w:rsidRDefault="00C678CD" w:rsidP="00C678CD">
      <w:pPr>
        <w:pStyle w:val="ListParagraph"/>
        <w:ind w:left="1440"/>
        <w:jc w:val="both"/>
        <w:rPr>
          <w:rFonts w:cstheme="minorHAnsi"/>
          <w:sz w:val="24"/>
          <w:szCs w:val="24"/>
          <w:lang w:val="mi-NZ"/>
        </w:rPr>
      </w:pPr>
    </w:p>
    <w:p w14:paraId="0218C708" w14:textId="255B7007" w:rsidR="00EF0CC1" w:rsidRPr="006D30E6" w:rsidRDefault="00EF0CC1" w:rsidP="00D9076C">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The PCC referred</w:t>
      </w:r>
      <w:r w:rsidR="00CF3A2E" w:rsidRPr="006D30E6">
        <w:rPr>
          <w:rFonts w:cstheme="minorHAnsi"/>
          <w:sz w:val="24"/>
          <w:szCs w:val="24"/>
          <w:lang w:val="mi-NZ"/>
        </w:rPr>
        <w:t xml:space="preserve"> us</w:t>
      </w:r>
      <w:r w:rsidRPr="006D30E6">
        <w:rPr>
          <w:rFonts w:cstheme="minorHAnsi"/>
          <w:sz w:val="24"/>
          <w:szCs w:val="24"/>
          <w:lang w:val="mi-NZ"/>
        </w:rPr>
        <w:t xml:space="preserve"> to cases of the Teachers Disciplinary Tribunal and the HPDT involving convictions. These cases illustrate that </w:t>
      </w:r>
      <w:r w:rsidR="00F96B66" w:rsidRPr="006D30E6">
        <w:rPr>
          <w:rFonts w:cstheme="minorHAnsi"/>
          <w:sz w:val="24"/>
          <w:szCs w:val="24"/>
          <w:lang w:val="mi-NZ"/>
        </w:rPr>
        <w:t>th</w:t>
      </w:r>
      <w:r w:rsidRPr="006D30E6">
        <w:rPr>
          <w:rFonts w:cstheme="minorHAnsi"/>
          <w:sz w:val="24"/>
          <w:szCs w:val="24"/>
          <w:lang w:val="mi-NZ"/>
        </w:rPr>
        <w:t>e insight and rehabilitiative prospects of the practitioner</w:t>
      </w:r>
      <w:r w:rsidR="00F96B66" w:rsidRPr="006D30E6">
        <w:rPr>
          <w:rFonts w:cstheme="minorHAnsi"/>
          <w:sz w:val="24"/>
          <w:szCs w:val="24"/>
          <w:lang w:val="mi-NZ"/>
        </w:rPr>
        <w:t xml:space="preserve"> may significantly influence penalty.</w:t>
      </w:r>
      <w:r w:rsidRPr="006D30E6">
        <w:rPr>
          <w:rFonts w:cstheme="minorHAnsi"/>
          <w:sz w:val="24"/>
          <w:szCs w:val="24"/>
          <w:lang w:val="mi-NZ"/>
        </w:rPr>
        <w:t xml:space="preserve"> Briefly, in </w:t>
      </w:r>
      <w:r w:rsidRPr="006D30E6">
        <w:rPr>
          <w:rFonts w:cstheme="minorHAnsi"/>
          <w:i/>
          <w:iCs/>
          <w:sz w:val="24"/>
          <w:szCs w:val="24"/>
          <w:lang w:val="mi-NZ"/>
        </w:rPr>
        <w:t>Professional Conduct Committee v Savage</w:t>
      </w:r>
      <w:r w:rsidRPr="006D30E6">
        <w:rPr>
          <w:rStyle w:val="FootnoteReference"/>
          <w:rFonts w:cstheme="minorHAnsi"/>
          <w:sz w:val="24"/>
          <w:szCs w:val="24"/>
          <w:lang w:val="mi-NZ"/>
        </w:rPr>
        <w:footnoteReference w:id="8"/>
      </w:r>
      <w:r w:rsidRPr="006D30E6">
        <w:rPr>
          <w:rFonts w:cstheme="minorHAnsi"/>
          <w:sz w:val="24"/>
          <w:szCs w:val="24"/>
          <w:lang w:val="mi-NZ"/>
        </w:rPr>
        <w:t xml:space="preserve"> Mr Savage, a nurse was convicted on two charges of indecent assault under s 135 of the C</w:t>
      </w:r>
      <w:r w:rsidR="00C678CD" w:rsidRPr="006D30E6">
        <w:rPr>
          <w:rFonts w:cstheme="minorHAnsi"/>
          <w:sz w:val="24"/>
          <w:szCs w:val="24"/>
          <w:lang w:val="mi-NZ"/>
        </w:rPr>
        <w:t>r</w:t>
      </w:r>
      <w:r w:rsidRPr="006D30E6">
        <w:rPr>
          <w:rFonts w:cstheme="minorHAnsi"/>
          <w:sz w:val="24"/>
          <w:szCs w:val="24"/>
          <w:lang w:val="mi-NZ"/>
        </w:rPr>
        <w:t xml:space="preserve">imes Act, for unwanted sexual contact and inappropriate sexual remarks made to a </w:t>
      </w:r>
      <w:r w:rsidR="00C678CD" w:rsidRPr="006D30E6">
        <w:rPr>
          <w:rFonts w:cstheme="minorHAnsi"/>
          <w:sz w:val="24"/>
          <w:szCs w:val="24"/>
          <w:lang w:val="mi-NZ"/>
        </w:rPr>
        <w:t xml:space="preserve">female </w:t>
      </w:r>
      <w:r w:rsidRPr="006D30E6">
        <w:rPr>
          <w:rFonts w:cstheme="minorHAnsi"/>
          <w:sz w:val="24"/>
          <w:szCs w:val="24"/>
          <w:lang w:val="mi-NZ"/>
        </w:rPr>
        <w:t xml:space="preserve">colleague in the workplace during one night shift. </w:t>
      </w:r>
      <w:r w:rsidR="005A3785" w:rsidRPr="006D30E6">
        <w:rPr>
          <w:rFonts w:cstheme="minorHAnsi"/>
          <w:sz w:val="24"/>
          <w:szCs w:val="24"/>
          <w:lang w:val="mi-NZ"/>
        </w:rPr>
        <w:t>The conviction was notified to the Nursing Council and a charge laid before the HPDT. The Tribunal found the convictions reflected adversely on Mr Savage’s fitness to practise and cancelled his registration and censured him. Mr Savage played no role in the disciplinary proceedings</w:t>
      </w:r>
      <w:r w:rsidR="00C678CD" w:rsidRPr="006D30E6">
        <w:rPr>
          <w:rFonts w:cstheme="minorHAnsi"/>
          <w:sz w:val="24"/>
          <w:szCs w:val="24"/>
          <w:lang w:val="mi-NZ"/>
        </w:rPr>
        <w:t>.</w:t>
      </w:r>
      <w:r w:rsidR="00CF3A2E" w:rsidRPr="006D30E6">
        <w:rPr>
          <w:rFonts w:cstheme="minorHAnsi"/>
          <w:sz w:val="24"/>
          <w:szCs w:val="24"/>
          <w:lang w:val="mi-NZ"/>
        </w:rPr>
        <w:t xml:space="preserve"> </w:t>
      </w:r>
      <w:r w:rsidR="00C678CD" w:rsidRPr="006D30E6">
        <w:rPr>
          <w:rFonts w:cstheme="minorHAnsi"/>
          <w:sz w:val="24"/>
          <w:szCs w:val="24"/>
          <w:lang w:val="mi-NZ"/>
        </w:rPr>
        <w:t>The Tribunal did not have any information as to his position on the charge and his intentions for his nursing practice</w:t>
      </w:r>
      <w:r w:rsidR="00CF3A2E" w:rsidRPr="006D30E6">
        <w:rPr>
          <w:rFonts w:cstheme="minorHAnsi"/>
          <w:sz w:val="24"/>
          <w:szCs w:val="24"/>
          <w:lang w:val="mi-NZ"/>
        </w:rPr>
        <w:t xml:space="preserve"> and </w:t>
      </w:r>
      <w:r w:rsidR="00C678CD" w:rsidRPr="006D30E6">
        <w:rPr>
          <w:rFonts w:cstheme="minorHAnsi"/>
          <w:sz w:val="24"/>
          <w:szCs w:val="24"/>
          <w:lang w:val="mi-NZ"/>
        </w:rPr>
        <w:t>observed that had Mr Savage participated then there “may have been room to consider a result other than cancellation.”</w:t>
      </w:r>
      <w:r w:rsidR="00C678CD" w:rsidRPr="006D30E6">
        <w:rPr>
          <w:rStyle w:val="FootnoteReference"/>
          <w:rFonts w:cstheme="minorHAnsi"/>
          <w:sz w:val="24"/>
          <w:szCs w:val="24"/>
          <w:lang w:val="mi-NZ"/>
        </w:rPr>
        <w:footnoteReference w:id="9"/>
      </w:r>
    </w:p>
    <w:p w14:paraId="165E11DA" w14:textId="77777777" w:rsidR="00C678CD" w:rsidRPr="006D30E6" w:rsidRDefault="00C678CD" w:rsidP="00D9076C">
      <w:pPr>
        <w:pStyle w:val="ListParagraph"/>
        <w:ind w:left="567" w:hanging="567"/>
        <w:jc w:val="both"/>
        <w:rPr>
          <w:rFonts w:cstheme="minorHAnsi"/>
          <w:sz w:val="24"/>
          <w:szCs w:val="24"/>
          <w:lang w:val="mi-NZ"/>
        </w:rPr>
      </w:pPr>
    </w:p>
    <w:p w14:paraId="5A8DC8A8" w14:textId="3F84FAC2" w:rsidR="005A3785" w:rsidRPr="006D30E6" w:rsidRDefault="00C678CD" w:rsidP="00D9076C">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lastRenderedPageBreak/>
        <w:t xml:space="preserve">In </w:t>
      </w:r>
      <w:r w:rsidRPr="006D30E6">
        <w:rPr>
          <w:rFonts w:cstheme="minorHAnsi"/>
          <w:i/>
          <w:iCs/>
          <w:sz w:val="24"/>
          <w:szCs w:val="24"/>
          <w:lang w:val="mi-NZ"/>
        </w:rPr>
        <w:t>Complaints Assessment Committee v Ali</w:t>
      </w:r>
      <w:r w:rsidRPr="006D30E6">
        <w:rPr>
          <w:rStyle w:val="FootnoteReference"/>
          <w:rFonts w:cstheme="minorHAnsi"/>
          <w:i/>
          <w:iCs/>
          <w:sz w:val="24"/>
          <w:szCs w:val="24"/>
          <w:lang w:val="mi-NZ"/>
        </w:rPr>
        <w:footnoteReference w:id="10"/>
      </w:r>
      <w:r w:rsidRPr="006D30E6">
        <w:rPr>
          <w:rFonts w:cstheme="minorHAnsi"/>
          <w:sz w:val="24"/>
          <w:szCs w:val="24"/>
          <w:lang w:val="mi-NZ"/>
        </w:rPr>
        <w:t xml:space="preserve"> the Teachers Dis</w:t>
      </w:r>
      <w:r w:rsidR="00D02802" w:rsidRPr="006D30E6">
        <w:rPr>
          <w:rFonts w:cstheme="minorHAnsi"/>
          <w:sz w:val="24"/>
          <w:szCs w:val="24"/>
          <w:lang w:val="mi-NZ"/>
        </w:rPr>
        <w:t>c</w:t>
      </w:r>
      <w:r w:rsidRPr="006D30E6">
        <w:rPr>
          <w:rFonts w:cstheme="minorHAnsi"/>
          <w:sz w:val="24"/>
          <w:szCs w:val="24"/>
          <w:lang w:val="mi-NZ"/>
        </w:rPr>
        <w:t xml:space="preserve">iplinary Tribunal imposed censure and conditions </w:t>
      </w:r>
      <w:r w:rsidR="00D02802" w:rsidRPr="006D30E6">
        <w:rPr>
          <w:rFonts w:cstheme="minorHAnsi"/>
          <w:sz w:val="24"/>
          <w:szCs w:val="24"/>
          <w:lang w:val="mi-NZ"/>
        </w:rPr>
        <w:t>(supervision and notification to prospective employers) on Mr Ali</w:t>
      </w:r>
      <w:r w:rsidRPr="006D30E6">
        <w:rPr>
          <w:rFonts w:cstheme="minorHAnsi"/>
          <w:sz w:val="24"/>
          <w:szCs w:val="24"/>
          <w:lang w:val="mi-NZ"/>
        </w:rPr>
        <w:t xml:space="preserve"> who was charged after being convicted of doing an indecent act in a public place under s125 of the Crimes Act. </w:t>
      </w:r>
      <w:r w:rsidR="00CF3A2E" w:rsidRPr="006D30E6">
        <w:rPr>
          <w:rFonts w:cstheme="minorHAnsi"/>
          <w:sz w:val="24"/>
          <w:szCs w:val="24"/>
          <w:lang w:val="mi-NZ"/>
        </w:rPr>
        <w:t xml:space="preserve">By the time of the disciplinary hearing </w:t>
      </w:r>
      <w:r w:rsidR="00D02802" w:rsidRPr="006D30E6">
        <w:rPr>
          <w:rFonts w:cstheme="minorHAnsi"/>
          <w:sz w:val="24"/>
          <w:szCs w:val="24"/>
          <w:lang w:val="mi-NZ"/>
        </w:rPr>
        <w:t xml:space="preserve">Mr Ali had </w:t>
      </w:r>
      <w:r w:rsidR="00CF3A2E" w:rsidRPr="006D30E6">
        <w:rPr>
          <w:rFonts w:cstheme="minorHAnsi"/>
          <w:sz w:val="24"/>
          <w:szCs w:val="24"/>
          <w:lang w:val="mi-NZ"/>
        </w:rPr>
        <w:t>t</w:t>
      </w:r>
      <w:r w:rsidR="00D02802" w:rsidRPr="006D30E6">
        <w:rPr>
          <w:rFonts w:cstheme="minorHAnsi"/>
          <w:sz w:val="24"/>
          <w:szCs w:val="24"/>
          <w:lang w:val="mi-NZ"/>
        </w:rPr>
        <w:t>aken steps to address the circumstances which led to the offending conduct, and he was not considered to pose a risk of reoffending</w:t>
      </w:r>
      <w:r w:rsidR="00CF3A2E" w:rsidRPr="006D30E6">
        <w:rPr>
          <w:rFonts w:cstheme="minorHAnsi"/>
          <w:sz w:val="24"/>
          <w:szCs w:val="24"/>
          <w:lang w:val="mi-NZ"/>
        </w:rPr>
        <w:t>,</w:t>
      </w:r>
      <w:r w:rsidR="00D02802" w:rsidRPr="006D30E6">
        <w:rPr>
          <w:rFonts w:cstheme="minorHAnsi"/>
          <w:sz w:val="24"/>
          <w:szCs w:val="24"/>
          <w:lang w:val="mi-NZ"/>
        </w:rPr>
        <w:t xml:space="preserve"> or to his students. His co-operation with the proceedings was influential in the Tribunal’s decision</w:t>
      </w:r>
      <w:r w:rsidR="00CF3A2E" w:rsidRPr="006D30E6">
        <w:rPr>
          <w:rFonts w:cstheme="minorHAnsi"/>
          <w:sz w:val="24"/>
          <w:szCs w:val="24"/>
          <w:lang w:val="mi-NZ"/>
        </w:rPr>
        <w:t xml:space="preserve"> to impose conditions. </w:t>
      </w:r>
      <w:r w:rsidR="00D02802" w:rsidRPr="006D30E6">
        <w:rPr>
          <w:rFonts w:cstheme="minorHAnsi"/>
          <w:sz w:val="24"/>
          <w:szCs w:val="24"/>
          <w:lang w:val="mi-NZ"/>
        </w:rPr>
        <w:t xml:space="preserve">In a second teacher’s case, </w:t>
      </w:r>
      <w:r w:rsidR="00D02802" w:rsidRPr="006D30E6">
        <w:rPr>
          <w:rFonts w:cstheme="minorHAnsi"/>
          <w:i/>
          <w:iCs/>
          <w:sz w:val="24"/>
          <w:szCs w:val="24"/>
          <w:lang w:val="mi-NZ"/>
        </w:rPr>
        <w:t>Complaints Assessment Committee v Evans</w:t>
      </w:r>
      <w:r w:rsidR="00D02802" w:rsidRPr="006D30E6">
        <w:rPr>
          <w:rStyle w:val="FootnoteReference"/>
          <w:rFonts w:cstheme="minorHAnsi"/>
          <w:i/>
          <w:iCs/>
          <w:sz w:val="24"/>
          <w:szCs w:val="24"/>
          <w:lang w:val="mi-NZ"/>
        </w:rPr>
        <w:footnoteReference w:id="11"/>
      </w:r>
      <w:r w:rsidR="00D02802" w:rsidRPr="006D30E6">
        <w:rPr>
          <w:rFonts w:cstheme="minorHAnsi"/>
          <w:sz w:val="24"/>
          <w:szCs w:val="24"/>
          <w:lang w:val="mi-NZ"/>
        </w:rPr>
        <w:t xml:space="preserve"> the teacher was found guilty of common assault for an assault on a stranger while</w:t>
      </w:r>
      <w:r w:rsidR="00CF3A2E" w:rsidRPr="006D30E6">
        <w:rPr>
          <w:rFonts w:cstheme="minorHAnsi"/>
          <w:sz w:val="24"/>
          <w:szCs w:val="24"/>
          <w:lang w:val="mi-NZ"/>
        </w:rPr>
        <w:t xml:space="preserve"> Mr Evans was</w:t>
      </w:r>
      <w:r w:rsidR="00D02802" w:rsidRPr="006D30E6">
        <w:rPr>
          <w:rFonts w:cstheme="minorHAnsi"/>
          <w:sz w:val="24"/>
          <w:szCs w:val="24"/>
          <w:lang w:val="mi-NZ"/>
        </w:rPr>
        <w:t xml:space="preserve"> extremely intoxicated. T</w:t>
      </w:r>
      <w:r w:rsidR="00E04779" w:rsidRPr="006D30E6">
        <w:rPr>
          <w:rFonts w:cstheme="minorHAnsi"/>
          <w:sz w:val="24"/>
          <w:szCs w:val="24"/>
          <w:lang w:val="mi-NZ"/>
        </w:rPr>
        <w:t>aking into account</w:t>
      </w:r>
      <w:r w:rsidR="00D02802" w:rsidRPr="006D30E6">
        <w:rPr>
          <w:rFonts w:cstheme="minorHAnsi"/>
          <w:sz w:val="24"/>
          <w:szCs w:val="24"/>
          <w:lang w:val="mi-NZ"/>
        </w:rPr>
        <w:t xml:space="preserve"> </w:t>
      </w:r>
      <w:r w:rsidR="00C80D0B" w:rsidRPr="006D30E6">
        <w:rPr>
          <w:rFonts w:cstheme="minorHAnsi"/>
          <w:sz w:val="24"/>
          <w:szCs w:val="24"/>
          <w:lang w:val="mi-NZ"/>
        </w:rPr>
        <w:t>his</w:t>
      </w:r>
      <w:r w:rsidR="00D02802" w:rsidRPr="006D30E6">
        <w:rPr>
          <w:rFonts w:cstheme="minorHAnsi"/>
          <w:sz w:val="24"/>
          <w:szCs w:val="24"/>
          <w:lang w:val="mi-NZ"/>
        </w:rPr>
        <w:t xml:space="preserve"> remorse, the absence of any further issues in the two years since the offending, identification of the root causes of the offending and co-operation with the disciplinary process </w:t>
      </w:r>
      <w:r w:rsidR="00E04779" w:rsidRPr="006D30E6">
        <w:rPr>
          <w:rFonts w:cstheme="minorHAnsi"/>
          <w:sz w:val="24"/>
          <w:szCs w:val="24"/>
          <w:lang w:val="mi-NZ"/>
        </w:rPr>
        <w:t>the Tribunal</w:t>
      </w:r>
      <w:r w:rsidR="00D02802" w:rsidRPr="006D30E6">
        <w:rPr>
          <w:rFonts w:cstheme="minorHAnsi"/>
          <w:sz w:val="24"/>
          <w:szCs w:val="24"/>
          <w:lang w:val="mi-NZ"/>
        </w:rPr>
        <w:t xml:space="preserve"> imposed censure and a condition that Mr Evans advise any employer of prosoective employer of the proceed</w:t>
      </w:r>
      <w:r w:rsidR="00E04779" w:rsidRPr="006D30E6">
        <w:rPr>
          <w:rFonts w:cstheme="minorHAnsi"/>
          <w:sz w:val="24"/>
          <w:szCs w:val="24"/>
          <w:lang w:val="mi-NZ"/>
        </w:rPr>
        <w:t>i</w:t>
      </w:r>
      <w:r w:rsidR="00D02802" w:rsidRPr="006D30E6">
        <w:rPr>
          <w:rFonts w:cstheme="minorHAnsi"/>
          <w:sz w:val="24"/>
          <w:szCs w:val="24"/>
          <w:lang w:val="mi-NZ"/>
        </w:rPr>
        <w:t>ngs and the Tribunal’s decision for a period of two years.</w:t>
      </w:r>
    </w:p>
    <w:p w14:paraId="33DA73A0" w14:textId="77777777" w:rsidR="00D02802" w:rsidRPr="006D30E6" w:rsidRDefault="00D02802" w:rsidP="00D9076C">
      <w:pPr>
        <w:pStyle w:val="ListParagraph"/>
        <w:ind w:left="567" w:hanging="567"/>
        <w:rPr>
          <w:rFonts w:cstheme="minorHAnsi"/>
          <w:sz w:val="24"/>
          <w:szCs w:val="24"/>
          <w:lang w:val="mi-NZ"/>
        </w:rPr>
      </w:pPr>
    </w:p>
    <w:p w14:paraId="77F9D589" w14:textId="4ADD90FB" w:rsidR="00A703D1" w:rsidRPr="006D30E6" w:rsidRDefault="00340ABE" w:rsidP="00D9076C">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The</w:t>
      </w:r>
      <w:r w:rsidR="00B94900" w:rsidRPr="006D30E6">
        <w:rPr>
          <w:rFonts w:cstheme="minorHAnsi"/>
          <w:sz w:val="24"/>
          <w:szCs w:val="24"/>
          <w:lang w:val="mi-NZ"/>
        </w:rPr>
        <w:t>re will be occasions where a charge arising out of a</w:t>
      </w:r>
      <w:r w:rsidR="007F2326" w:rsidRPr="006D30E6">
        <w:rPr>
          <w:rFonts w:cstheme="minorHAnsi"/>
          <w:sz w:val="24"/>
          <w:szCs w:val="24"/>
          <w:lang w:val="mi-NZ"/>
        </w:rPr>
        <w:t xml:space="preserve"> qualifying</w:t>
      </w:r>
      <w:r w:rsidR="00B94900" w:rsidRPr="006D30E6">
        <w:rPr>
          <w:rFonts w:cstheme="minorHAnsi"/>
          <w:sz w:val="24"/>
          <w:szCs w:val="24"/>
          <w:lang w:val="mi-NZ"/>
        </w:rPr>
        <w:t xml:space="preserve"> conviction </w:t>
      </w:r>
      <w:r w:rsidR="007F2326" w:rsidRPr="006D30E6">
        <w:rPr>
          <w:rFonts w:cstheme="minorHAnsi"/>
          <w:sz w:val="24"/>
          <w:szCs w:val="24"/>
          <w:lang w:val="mi-NZ"/>
        </w:rPr>
        <w:t>will not meet the threshold for discipline</w:t>
      </w:r>
      <w:r w:rsidR="00E04779" w:rsidRPr="006D30E6">
        <w:rPr>
          <w:rFonts w:cstheme="minorHAnsi"/>
          <w:sz w:val="24"/>
          <w:szCs w:val="24"/>
          <w:lang w:val="mi-NZ"/>
        </w:rPr>
        <w:t>,</w:t>
      </w:r>
      <w:r w:rsidR="007F2326" w:rsidRPr="006D30E6">
        <w:rPr>
          <w:rFonts w:cstheme="minorHAnsi"/>
          <w:sz w:val="24"/>
          <w:szCs w:val="24"/>
          <w:lang w:val="mi-NZ"/>
        </w:rPr>
        <w:t xml:space="preserve"> and others where the circumstances of the conviction </w:t>
      </w:r>
      <w:r w:rsidR="00B94900" w:rsidRPr="006D30E6">
        <w:rPr>
          <w:rFonts w:cstheme="minorHAnsi"/>
          <w:sz w:val="24"/>
          <w:szCs w:val="24"/>
          <w:lang w:val="mi-NZ"/>
        </w:rPr>
        <w:t xml:space="preserve">give rise to consideration of the most serious </w:t>
      </w:r>
      <w:r w:rsidRPr="006D30E6">
        <w:rPr>
          <w:rFonts w:cstheme="minorHAnsi"/>
          <w:sz w:val="24"/>
          <w:szCs w:val="24"/>
          <w:lang w:val="mi-NZ"/>
        </w:rPr>
        <w:t xml:space="preserve">penalties of cancellation </w:t>
      </w:r>
      <w:r w:rsidR="00E04779" w:rsidRPr="006D30E6">
        <w:rPr>
          <w:rFonts w:cstheme="minorHAnsi"/>
          <w:sz w:val="24"/>
          <w:szCs w:val="24"/>
          <w:lang w:val="mi-NZ"/>
        </w:rPr>
        <w:t>or</w:t>
      </w:r>
      <w:r w:rsidRPr="006D30E6">
        <w:rPr>
          <w:rFonts w:cstheme="minorHAnsi"/>
          <w:sz w:val="24"/>
          <w:szCs w:val="24"/>
          <w:lang w:val="mi-NZ"/>
        </w:rPr>
        <w:t xml:space="preserve"> suspension of registration</w:t>
      </w:r>
      <w:r w:rsidR="00B94900" w:rsidRPr="006D30E6">
        <w:rPr>
          <w:rFonts w:cstheme="minorHAnsi"/>
          <w:sz w:val="24"/>
          <w:szCs w:val="24"/>
          <w:lang w:val="mi-NZ"/>
        </w:rPr>
        <w:t xml:space="preserve">, where those steps are necessary for the protection of the public. </w:t>
      </w:r>
      <w:r w:rsidRPr="006D30E6">
        <w:rPr>
          <w:rFonts w:cstheme="minorHAnsi"/>
          <w:sz w:val="24"/>
          <w:szCs w:val="24"/>
          <w:lang w:val="mi-NZ"/>
        </w:rPr>
        <w:t xml:space="preserve"> </w:t>
      </w:r>
      <w:r w:rsidR="00B94900" w:rsidRPr="006D30E6">
        <w:rPr>
          <w:rFonts w:cstheme="minorHAnsi"/>
          <w:sz w:val="24"/>
          <w:szCs w:val="24"/>
          <w:lang w:val="mi-NZ"/>
        </w:rPr>
        <w:t xml:space="preserve">This is not </w:t>
      </w:r>
      <w:r w:rsidR="007F2326" w:rsidRPr="006D30E6">
        <w:rPr>
          <w:rFonts w:cstheme="minorHAnsi"/>
          <w:sz w:val="24"/>
          <w:szCs w:val="24"/>
          <w:lang w:val="mi-NZ"/>
        </w:rPr>
        <w:t>a case where we have considered it necessary to impose suspension or cancellation</w:t>
      </w:r>
      <w:r w:rsidR="00B94900" w:rsidRPr="006D30E6">
        <w:rPr>
          <w:rFonts w:cstheme="minorHAnsi"/>
          <w:sz w:val="24"/>
          <w:szCs w:val="24"/>
          <w:lang w:val="mi-NZ"/>
        </w:rPr>
        <w:t>. Ms Hanley’s high level of engagement with the PCC and Tribunal proc</w:t>
      </w:r>
      <w:r w:rsidR="00D02802" w:rsidRPr="006D30E6">
        <w:rPr>
          <w:rFonts w:cstheme="minorHAnsi"/>
          <w:sz w:val="24"/>
          <w:szCs w:val="24"/>
          <w:lang w:val="mi-NZ"/>
        </w:rPr>
        <w:t>eedings</w:t>
      </w:r>
      <w:r w:rsidR="00E04779" w:rsidRPr="006D30E6">
        <w:rPr>
          <w:rFonts w:cstheme="minorHAnsi"/>
          <w:sz w:val="24"/>
          <w:szCs w:val="24"/>
          <w:lang w:val="mi-NZ"/>
        </w:rPr>
        <w:t>,</w:t>
      </w:r>
      <w:r w:rsidR="00B94900" w:rsidRPr="006D30E6">
        <w:rPr>
          <w:rFonts w:cstheme="minorHAnsi"/>
          <w:sz w:val="24"/>
          <w:szCs w:val="24"/>
          <w:lang w:val="mi-NZ"/>
        </w:rPr>
        <w:t xml:space="preserve"> together with the steps she has taken to address </w:t>
      </w:r>
      <w:r w:rsidR="00E04779" w:rsidRPr="006D30E6">
        <w:rPr>
          <w:rFonts w:cstheme="minorHAnsi"/>
          <w:sz w:val="24"/>
          <w:szCs w:val="24"/>
          <w:lang w:val="mi-NZ"/>
        </w:rPr>
        <w:t xml:space="preserve">her alcohol use and other </w:t>
      </w:r>
      <w:r w:rsidR="00B94900" w:rsidRPr="006D30E6">
        <w:rPr>
          <w:rFonts w:cstheme="minorHAnsi"/>
          <w:sz w:val="24"/>
          <w:szCs w:val="24"/>
          <w:lang w:val="mi-NZ"/>
        </w:rPr>
        <w:t xml:space="preserve">issues have led us to the view that the protection of the public can be served by the imposition of conditions. </w:t>
      </w:r>
      <w:r w:rsidR="00A703D1" w:rsidRPr="006D30E6">
        <w:rPr>
          <w:rFonts w:cstheme="minorHAnsi"/>
          <w:sz w:val="24"/>
          <w:szCs w:val="24"/>
          <w:lang w:val="mi-NZ"/>
        </w:rPr>
        <w:t>The reports of Emma Aiken and Dr Perez provide reassurance that Ms Hanley does not pose a risk such that she could not be considered safe to hold a practising certificate. Ms Aiken confirmed the extensive counselling work Ms Hanley has undertaken, her acceptance of responsibility</w:t>
      </w:r>
      <w:r w:rsidR="00D02802" w:rsidRPr="006D30E6">
        <w:rPr>
          <w:rFonts w:cstheme="minorHAnsi"/>
          <w:sz w:val="24"/>
          <w:szCs w:val="24"/>
          <w:lang w:val="mi-NZ"/>
        </w:rPr>
        <w:t>,</w:t>
      </w:r>
      <w:r w:rsidR="00A703D1" w:rsidRPr="006D30E6">
        <w:rPr>
          <w:rFonts w:cstheme="minorHAnsi"/>
          <w:sz w:val="24"/>
          <w:szCs w:val="24"/>
          <w:lang w:val="mi-NZ"/>
        </w:rPr>
        <w:t xml:space="preserve"> and </w:t>
      </w:r>
      <w:r w:rsidR="00C80D0B" w:rsidRPr="006D30E6">
        <w:rPr>
          <w:rFonts w:cstheme="minorHAnsi"/>
          <w:sz w:val="24"/>
          <w:szCs w:val="24"/>
          <w:lang w:val="mi-NZ"/>
        </w:rPr>
        <w:t>her normal scores on alcohol assessment tools when seen by</w:t>
      </w:r>
      <w:r w:rsidR="00E12774" w:rsidRPr="006D30E6">
        <w:rPr>
          <w:rFonts w:cstheme="minorHAnsi"/>
          <w:sz w:val="24"/>
          <w:szCs w:val="24"/>
          <w:lang w:val="mi-NZ"/>
        </w:rPr>
        <w:t xml:space="preserve"> Dr Perez</w:t>
      </w:r>
      <w:r w:rsidR="00E12774" w:rsidRPr="006D30E6">
        <w:rPr>
          <w:rStyle w:val="FootnoteReference"/>
          <w:rFonts w:cstheme="minorHAnsi"/>
          <w:sz w:val="24"/>
          <w:szCs w:val="24"/>
          <w:lang w:val="mi-NZ"/>
        </w:rPr>
        <w:footnoteReference w:id="12"/>
      </w:r>
      <w:r w:rsidR="00A703D1" w:rsidRPr="006D30E6">
        <w:rPr>
          <w:rFonts w:cstheme="minorHAnsi"/>
          <w:sz w:val="24"/>
          <w:szCs w:val="24"/>
          <w:lang w:val="mi-NZ"/>
        </w:rPr>
        <w:t xml:space="preserve">. </w:t>
      </w:r>
    </w:p>
    <w:p w14:paraId="2B40D885" w14:textId="77777777" w:rsidR="00A703D1" w:rsidRPr="006D30E6" w:rsidRDefault="00A703D1" w:rsidP="00D9076C">
      <w:pPr>
        <w:pStyle w:val="ListParagraph"/>
        <w:ind w:left="567" w:hanging="567"/>
        <w:jc w:val="both"/>
        <w:rPr>
          <w:rFonts w:cstheme="minorHAnsi"/>
          <w:sz w:val="24"/>
          <w:szCs w:val="24"/>
          <w:lang w:val="mi-NZ"/>
        </w:rPr>
      </w:pPr>
    </w:p>
    <w:p w14:paraId="31338B8E" w14:textId="4A5B2F2C" w:rsidR="00340ABE" w:rsidRPr="006D30E6" w:rsidRDefault="00A703D1" w:rsidP="00D9076C">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We are also mindful that</w:t>
      </w:r>
      <w:r w:rsidR="000E4DC2" w:rsidRPr="006D30E6">
        <w:rPr>
          <w:rFonts w:cstheme="minorHAnsi"/>
          <w:sz w:val="24"/>
          <w:szCs w:val="24"/>
          <w:lang w:val="mi-NZ"/>
        </w:rPr>
        <w:t xml:space="preserve"> </w:t>
      </w:r>
      <w:r w:rsidR="0086002F" w:rsidRPr="006D30E6">
        <w:rPr>
          <w:rFonts w:cstheme="minorHAnsi"/>
          <w:sz w:val="24"/>
          <w:szCs w:val="24"/>
          <w:lang w:val="mi-NZ"/>
        </w:rPr>
        <w:t xml:space="preserve">Ms Hanley has been penalised through the criminal sanctions imposed on her, </w:t>
      </w:r>
      <w:r w:rsidR="00D02802" w:rsidRPr="006D30E6">
        <w:rPr>
          <w:rFonts w:cstheme="minorHAnsi"/>
          <w:sz w:val="24"/>
          <w:szCs w:val="24"/>
          <w:lang w:val="mi-NZ"/>
        </w:rPr>
        <w:t xml:space="preserve">and </w:t>
      </w:r>
      <w:r w:rsidR="0086002F" w:rsidRPr="006D30E6">
        <w:rPr>
          <w:rFonts w:cstheme="minorHAnsi"/>
          <w:sz w:val="24"/>
          <w:szCs w:val="24"/>
          <w:lang w:val="mi-NZ"/>
        </w:rPr>
        <w:t xml:space="preserve">the loss of her job </w:t>
      </w:r>
      <w:r w:rsidRPr="006D30E6">
        <w:rPr>
          <w:rFonts w:cstheme="minorHAnsi"/>
          <w:sz w:val="24"/>
          <w:szCs w:val="24"/>
          <w:lang w:val="mi-NZ"/>
        </w:rPr>
        <w:t>(albeit she resigned)</w:t>
      </w:r>
      <w:r w:rsidR="0086002F" w:rsidRPr="006D30E6">
        <w:rPr>
          <w:rFonts w:cstheme="minorHAnsi"/>
          <w:sz w:val="24"/>
          <w:szCs w:val="24"/>
          <w:lang w:val="mi-NZ"/>
        </w:rPr>
        <w:t xml:space="preserve">. </w:t>
      </w:r>
      <w:r w:rsidR="001C679A" w:rsidRPr="006D30E6">
        <w:rPr>
          <w:rFonts w:cstheme="minorHAnsi"/>
          <w:sz w:val="24"/>
          <w:szCs w:val="24"/>
          <w:lang w:val="mi-NZ"/>
        </w:rPr>
        <w:t xml:space="preserve"> Ms Hanley has no previous convictions</w:t>
      </w:r>
      <w:r w:rsidRPr="006D30E6">
        <w:rPr>
          <w:rFonts w:cstheme="minorHAnsi"/>
          <w:sz w:val="24"/>
          <w:szCs w:val="24"/>
          <w:lang w:val="mi-NZ"/>
        </w:rPr>
        <w:t>, and to the Tribunal’s knowledge</w:t>
      </w:r>
      <w:r w:rsidR="00D02802" w:rsidRPr="006D30E6">
        <w:rPr>
          <w:rFonts w:cstheme="minorHAnsi"/>
          <w:sz w:val="24"/>
          <w:szCs w:val="24"/>
          <w:lang w:val="mi-NZ"/>
        </w:rPr>
        <w:t>,</w:t>
      </w:r>
      <w:r w:rsidRPr="006D30E6">
        <w:rPr>
          <w:rFonts w:cstheme="minorHAnsi"/>
          <w:sz w:val="24"/>
          <w:szCs w:val="24"/>
          <w:lang w:val="mi-NZ"/>
        </w:rPr>
        <w:t xml:space="preserve"> no professional complaints or</w:t>
      </w:r>
      <w:r w:rsidR="00C80D0B" w:rsidRPr="006D30E6">
        <w:rPr>
          <w:rFonts w:cstheme="minorHAnsi"/>
          <w:sz w:val="24"/>
          <w:szCs w:val="24"/>
          <w:lang w:val="mi-NZ"/>
        </w:rPr>
        <w:t xml:space="preserve"> other</w:t>
      </w:r>
      <w:r w:rsidRPr="006D30E6">
        <w:rPr>
          <w:rFonts w:cstheme="minorHAnsi"/>
          <w:sz w:val="24"/>
          <w:szCs w:val="24"/>
          <w:lang w:val="mi-NZ"/>
        </w:rPr>
        <w:t xml:space="preserve"> disc</w:t>
      </w:r>
      <w:r w:rsidR="00E04779" w:rsidRPr="006D30E6">
        <w:rPr>
          <w:rFonts w:cstheme="minorHAnsi"/>
          <w:sz w:val="24"/>
          <w:szCs w:val="24"/>
          <w:lang w:val="mi-NZ"/>
        </w:rPr>
        <w:t>i</w:t>
      </w:r>
      <w:r w:rsidRPr="006D30E6">
        <w:rPr>
          <w:rFonts w:cstheme="minorHAnsi"/>
          <w:sz w:val="24"/>
          <w:szCs w:val="24"/>
          <w:lang w:val="mi-NZ"/>
        </w:rPr>
        <w:t>plinary matters</w:t>
      </w:r>
      <w:r w:rsidR="001C679A" w:rsidRPr="006D30E6">
        <w:rPr>
          <w:rFonts w:cstheme="minorHAnsi"/>
          <w:sz w:val="24"/>
          <w:szCs w:val="24"/>
          <w:lang w:val="mi-NZ"/>
        </w:rPr>
        <w:t>.</w:t>
      </w:r>
      <w:r w:rsidR="007F1C1F" w:rsidRPr="006D30E6">
        <w:rPr>
          <w:rFonts w:cstheme="minorHAnsi"/>
          <w:sz w:val="24"/>
          <w:szCs w:val="24"/>
          <w:lang w:val="mi-NZ"/>
        </w:rPr>
        <w:t xml:space="preserve"> Ms Hanley has indicated her desire to return to social work practice at some point in the future.</w:t>
      </w:r>
    </w:p>
    <w:p w14:paraId="2269C6A2" w14:textId="77777777" w:rsidR="00653AED" w:rsidRPr="006D30E6" w:rsidRDefault="00653AED" w:rsidP="00D9076C">
      <w:pPr>
        <w:pStyle w:val="ListParagraph"/>
        <w:ind w:left="567" w:hanging="567"/>
        <w:jc w:val="both"/>
        <w:rPr>
          <w:rFonts w:cstheme="minorHAnsi"/>
          <w:sz w:val="24"/>
          <w:szCs w:val="24"/>
          <w:lang w:val="mi-NZ"/>
        </w:rPr>
      </w:pPr>
    </w:p>
    <w:p w14:paraId="2CFDA1C0" w14:textId="6E5E6DC2" w:rsidR="00653AED" w:rsidRPr="006D30E6" w:rsidRDefault="003B1A5E" w:rsidP="00D9076C">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T</w:t>
      </w:r>
      <w:r w:rsidR="00A703D1" w:rsidRPr="006D30E6">
        <w:rPr>
          <w:rFonts w:cstheme="minorHAnsi"/>
          <w:sz w:val="24"/>
          <w:szCs w:val="24"/>
          <w:lang w:val="mi-NZ"/>
        </w:rPr>
        <w:t>aking the above matter</w:t>
      </w:r>
      <w:r w:rsidR="00D02802" w:rsidRPr="006D30E6">
        <w:rPr>
          <w:rFonts w:cstheme="minorHAnsi"/>
          <w:sz w:val="24"/>
          <w:szCs w:val="24"/>
          <w:lang w:val="mi-NZ"/>
        </w:rPr>
        <w:t>s</w:t>
      </w:r>
      <w:r w:rsidR="00A703D1" w:rsidRPr="006D30E6">
        <w:rPr>
          <w:rFonts w:cstheme="minorHAnsi"/>
          <w:sz w:val="24"/>
          <w:szCs w:val="24"/>
          <w:lang w:val="mi-NZ"/>
        </w:rPr>
        <w:t xml:space="preserve"> into account t</w:t>
      </w:r>
      <w:r w:rsidRPr="006D30E6">
        <w:rPr>
          <w:rFonts w:cstheme="minorHAnsi"/>
          <w:sz w:val="24"/>
          <w:szCs w:val="24"/>
          <w:lang w:val="mi-NZ"/>
        </w:rPr>
        <w:t xml:space="preserve">he </w:t>
      </w:r>
      <w:r w:rsidR="000E4DC2" w:rsidRPr="006D30E6">
        <w:rPr>
          <w:rFonts w:cstheme="minorHAnsi"/>
          <w:sz w:val="24"/>
          <w:szCs w:val="24"/>
          <w:lang w:val="mi-NZ"/>
        </w:rPr>
        <w:t>Tribunal considered what condi</w:t>
      </w:r>
      <w:r w:rsidR="0086002F" w:rsidRPr="006D30E6">
        <w:rPr>
          <w:rFonts w:cstheme="minorHAnsi"/>
          <w:sz w:val="24"/>
          <w:szCs w:val="24"/>
          <w:lang w:val="mi-NZ"/>
        </w:rPr>
        <w:t xml:space="preserve">tions </w:t>
      </w:r>
      <w:r w:rsidR="00A703D1" w:rsidRPr="006D30E6">
        <w:rPr>
          <w:rFonts w:cstheme="minorHAnsi"/>
          <w:sz w:val="24"/>
          <w:szCs w:val="24"/>
          <w:lang w:val="mi-NZ"/>
        </w:rPr>
        <w:t>would</w:t>
      </w:r>
      <w:r w:rsidR="000E4DC2" w:rsidRPr="006D30E6">
        <w:rPr>
          <w:rFonts w:cstheme="minorHAnsi"/>
          <w:sz w:val="24"/>
          <w:szCs w:val="24"/>
          <w:lang w:val="mi-NZ"/>
        </w:rPr>
        <w:t xml:space="preserve"> best address</w:t>
      </w:r>
      <w:r w:rsidR="0086002F" w:rsidRPr="006D30E6">
        <w:rPr>
          <w:rFonts w:cstheme="minorHAnsi"/>
          <w:sz w:val="24"/>
          <w:szCs w:val="24"/>
          <w:lang w:val="mi-NZ"/>
        </w:rPr>
        <w:t xml:space="preserve"> the </w:t>
      </w:r>
      <w:r w:rsidR="00A703D1" w:rsidRPr="006D30E6">
        <w:rPr>
          <w:rFonts w:cstheme="minorHAnsi"/>
          <w:sz w:val="24"/>
          <w:szCs w:val="24"/>
          <w:lang w:val="mi-NZ"/>
        </w:rPr>
        <w:t>issues</w:t>
      </w:r>
      <w:r w:rsidR="0086002F" w:rsidRPr="006D30E6">
        <w:rPr>
          <w:rFonts w:cstheme="minorHAnsi"/>
          <w:sz w:val="24"/>
          <w:szCs w:val="24"/>
          <w:lang w:val="mi-NZ"/>
        </w:rPr>
        <w:t xml:space="preserve"> that Ms Hanley’s offending brought to ligh</w:t>
      </w:r>
      <w:r w:rsidR="00C85024" w:rsidRPr="006D30E6">
        <w:rPr>
          <w:rFonts w:cstheme="minorHAnsi"/>
          <w:sz w:val="24"/>
          <w:szCs w:val="24"/>
          <w:lang w:val="mi-NZ"/>
        </w:rPr>
        <w:t xml:space="preserve">t, while recognising the steps she has already taken. </w:t>
      </w:r>
      <w:r w:rsidR="00E04779" w:rsidRPr="006D30E6">
        <w:rPr>
          <w:rFonts w:cstheme="minorHAnsi"/>
          <w:sz w:val="24"/>
          <w:szCs w:val="24"/>
          <w:lang w:val="mi-NZ"/>
        </w:rPr>
        <w:t xml:space="preserve">Conditions should </w:t>
      </w:r>
      <w:r w:rsidR="00C80D0B" w:rsidRPr="006D30E6">
        <w:rPr>
          <w:rFonts w:cstheme="minorHAnsi"/>
          <w:sz w:val="24"/>
          <w:szCs w:val="24"/>
          <w:lang w:val="mi-NZ"/>
        </w:rPr>
        <w:t>reflect</w:t>
      </w:r>
      <w:r w:rsidR="00E04779" w:rsidRPr="006D30E6">
        <w:rPr>
          <w:rFonts w:cstheme="minorHAnsi"/>
          <w:sz w:val="24"/>
          <w:szCs w:val="24"/>
          <w:lang w:val="mi-NZ"/>
        </w:rPr>
        <w:t xml:space="preserve"> the fact the offending occu</w:t>
      </w:r>
      <w:r w:rsidR="00C85024" w:rsidRPr="006D30E6">
        <w:rPr>
          <w:rFonts w:cstheme="minorHAnsi"/>
          <w:sz w:val="24"/>
          <w:szCs w:val="24"/>
          <w:lang w:val="mi-NZ"/>
        </w:rPr>
        <w:t xml:space="preserve">rred in the context of alcohol abuse, </w:t>
      </w:r>
      <w:r w:rsidR="00E04779" w:rsidRPr="006D30E6">
        <w:rPr>
          <w:rFonts w:cstheme="minorHAnsi"/>
          <w:sz w:val="24"/>
          <w:szCs w:val="24"/>
          <w:lang w:val="mi-NZ"/>
        </w:rPr>
        <w:t xml:space="preserve">that Ms Hanley </w:t>
      </w:r>
      <w:r w:rsidR="00C85024" w:rsidRPr="006D30E6">
        <w:rPr>
          <w:rFonts w:cstheme="minorHAnsi"/>
          <w:sz w:val="24"/>
          <w:szCs w:val="24"/>
          <w:lang w:val="mi-NZ"/>
        </w:rPr>
        <w:t xml:space="preserve">demonstrated a </w:t>
      </w:r>
      <w:r w:rsidR="0086002F" w:rsidRPr="006D30E6">
        <w:rPr>
          <w:rFonts w:cstheme="minorHAnsi"/>
          <w:sz w:val="24"/>
          <w:szCs w:val="24"/>
          <w:lang w:val="mi-NZ"/>
        </w:rPr>
        <w:t xml:space="preserve">lack of control </w:t>
      </w:r>
      <w:r w:rsidR="00C85024" w:rsidRPr="006D30E6">
        <w:rPr>
          <w:rFonts w:cstheme="minorHAnsi"/>
          <w:sz w:val="24"/>
          <w:szCs w:val="24"/>
          <w:lang w:val="mi-NZ"/>
        </w:rPr>
        <w:t xml:space="preserve">in </w:t>
      </w:r>
      <w:r w:rsidR="00A703D1" w:rsidRPr="006D30E6">
        <w:rPr>
          <w:rFonts w:cstheme="minorHAnsi"/>
          <w:sz w:val="24"/>
          <w:szCs w:val="24"/>
          <w:lang w:val="mi-NZ"/>
        </w:rPr>
        <w:t>a</w:t>
      </w:r>
      <w:r w:rsidR="00C85024" w:rsidRPr="006D30E6">
        <w:rPr>
          <w:rFonts w:cstheme="minorHAnsi"/>
          <w:sz w:val="24"/>
          <w:szCs w:val="24"/>
          <w:lang w:val="mi-NZ"/>
        </w:rPr>
        <w:t xml:space="preserve"> public </w:t>
      </w:r>
      <w:r w:rsidR="00D02802" w:rsidRPr="006D30E6">
        <w:rPr>
          <w:rFonts w:cstheme="minorHAnsi"/>
          <w:sz w:val="24"/>
          <w:szCs w:val="24"/>
          <w:lang w:val="mi-NZ"/>
        </w:rPr>
        <w:t>pl</w:t>
      </w:r>
      <w:r w:rsidR="00C85024" w:rsidRPr="006D30E6">
        <w:rPr>
          <w:rFonts w:cstheme="minorHAnsi"/>
          <w:sz w:val="24"/>
          <w:szCs w:val="24"/>
          <w:lang w:val="mi-NZ"/>
        </w:rPr>
        <w:t xml:space="preserve">ace, with colleagues, and </w:t>
      </w:r>
      <w:r w:rsidR="0024259F" w:rsidRPr="006D30E6">
        <w:rPr>
          <w:rFonts w:cstheme="minorHAnsi"/>
          <w:sz w:val="24"/>
          <w:szCs w:val="24"/>
          <w:lang w:val="mi-NZ"/>
        </w:rPr>
        <w:t xml:space="preserve">on the day in question </w:t>
      </w:r>
      <w:r w:rsidR="00B25D4F" w:rsidRPr="006D30E6">
        <w:rPr>
          <w:rFonts w:cstheme="minorHAnsi"/>
          <w:sz w:val="24"/>
          <w:szCs w:val="24"/>
          <w:lang w:val="mi-NZ"/>
        </w:rPr>
        <w:t xml:space="preserve">was </w:t>
      </w:r>
      <w:r w:rsidR="00C85024" w:rsidRPr="006D30E6">
        <w:rPr>
          <w:rFonts w:cstheme="minorHAnsi"/>
          <w:sz w:val="24"/>
          <w:szCs w:val="24"/>
          <w:lang w:val="mi-NZ"/>
        </w:rPr>
        <w:t>using alc</w:t>
      </w:r>
      <w:r w:rsidR="0086002F" w:rsidRPr="006D30E6">
        <w:rPr>
          <w:rFonts w:cstheme="minorHAnsi"/>
          <w:sz w:val="24"/>
          <w:szCs w:val="24"/>
          <w:lang w:val="mi-NZ"/>
        </w:rPr>
        <w:t>ohol as a coping strate</w:t>
      </w:r>
      <w:r w:rsidR="00C85024" w:rsidRPr="006D30E6">
        <w:rPr>
          <w:rFonts w:cstheme="minorHAnsi"/>
          <w:sz w:val="24"/>
          <w:szCs w:val="24"/>
          <w:lang w:val="mi-NZ"/>
        </w:rPr>
        <w:t>g</w:t>
      </w:r>
      <w:r w:rsidR="0086002F" w:rsidRPr="006D30E6">
        <w:rPr>
          <w:rFonts w:cstheme="minorHAnsi"/>
          <w:sz w:val="24"/>
          <w:szCs w:val="24"/>
          <w:lang w:val="mi-NZ"/>
        </w:rPr>
        <w:t xml:space="preserve">y for </w:t>
      </w:r>
      <w:r w:rsidR="00C85024" w:rsidRPr="006D30E6">
        <w:rPr>
          <w:rFonts w:cstheme="minorHAnsi"/>
          <w:sz w:val="24"/>
          <w:szCs w:val="24"/>
          <w:lang w:val="mi-NZ"/>
        </w:rPr>
        <w:t>a</w:t>
      </w:r>
      <w:r w:rsidR="0086002F" w:rsidRPr="006D30E6">
        <w:rPr>
          <w:rFonts w:cstheme="minorHAnsi"/>
          <w:sz w:val="24"/>
          <w:szCs w:val="24"/>
          <w:lang w:val="mi-NZ"/>
        </w:rPr>
        <w:t xml:space="preserve"> </w:t>
      </w:r>
      <w:r w:rsidR="00A703D1" w:rsidRPr="006D30E6">
        <w:rPr>
          <w:rFonts w:cstheme="minorHAnsi"/>
          <w:sz w:val="24"/>
          <w:szCs w:val="24"/>
          <w:lang w:val="mi-NZ"/>
        </w:rPr>
        <w:t>h</w:t>
      </w:r>
      <w:r w:rsidR="0086002F" w:rsidRPr="006D30E6">
        <w:rPr>
          <w:rFonts w:cstheme="minorHAnsi"/>
          <w:sz w:val="24"/>
          <w:szCs w:val="24"/>
          <w:lang w:val="mi-NZ"/>
        </w:rPr>
        <w:t>igh level of work</w:t>
      </w:r>
      <w:r w:rsidR="00A703D1" w:rsidRPr="006D30E6">
        <w:rPr>
          <w:rFonts w:cstheme="minorHAnsi"/>
          <w:sz w:val="24"/>
          <w:szCs w:val="24"/>
          <w:lang w:val="mi-NZ"/>
        </w:rPr>
        <w:t>-related</w:t>
      </w:r>
      <w:r w:rsidR="0086002F" w:rsidRPr="006D30E6">
        <w:rPr>
          <w:rFonts w:cstheme="minorHAnsi"/>
          <w:sz w:val="24"/>
          <w:szCs w:val="24"/>
          <w:lang w:val="mi-NZ"/>
        </w:rPr>
        <w:t xml:space="preserve"> stres</w:t>
      </w:r>
      <w:r w:rsidR="00C85024" w:rsidRPr="006D30E6">
        <w:rPr>
          <w:rFonts w:cstheme="minorHAnsi"/>
          <w:sz w:val="24"/>
          <w:szCs w:val="24"/>
          <w:lang w:val="mi-NZ"/>
        </w:rPr>
        <w:t>s</w:t>
      </w:r>
      <w:r w:rsidR="0086002F" w:rsidRPr="006D30E6">
        <w:rPr>
          <w:rFonts w:cstheme="minorHAnsi"/>
          <w:sz w:val="24"/>
          <w:szCs w:val="24"/>
          <w:lang w:val="mi-NZ"/>
        </w:rPr>
        <w:t>.</w:t>
      </w:r>
      <w:r w:rsidR="0024259F" w:rsidRPr="006D30E6">
        <w:rPr>
          <w:rFonts w:cstheme="minorHAnsi"/>
          <w:sz w:val="24"/>
          <w:szCs w:val="24"/>
          <w:lang w:val="mi-NZ"/>
        </w:rPr>
        <w:t xml:space="preserve"> The conditions the Tribunal will </w:t>
      </w:r>
      <w:r w:rsidR="0024259F" w:rsidRPr="006D30E6">
        <w:rPr>
          <w:rFonts w:cstheme="minorHAnsi"/>
          <w:sz w:val="24"/>
          <w:szCs w:val="24"/>
          <w:lang w:val="mi-NZ"/>
        </w:rPr>
        <w:lastRenderedPageBreak/>
        <w:t>impose are</w:t>
      </w:r>
      <w:r w:rsidR="00C85024" w:rsidRPr="006D30E6">
        <w:rPr>
          <w:rFonts w:cstheme="minorHAnsi"/>
          <w:sz w:val="24"/>
          <w:szCs w:val="24"/>
          <w:lang w:val="mi-NZ"/>
        </w:rPr>
        <w:t xml:space="preserve"> consistent with </w:t>
      </w:r>
      <w:r w:rsidR="00E04779" w:rsidRPr="006D30E6">
        <w:rPr>
          <w:rFonts w:cstheme="minorHAnsi"/>
          <w:sz w:val="24"/>
          <w:szCs w:val="24"/>
          <w:lang w:val="mi-NZ"/>
        </w:rPr>
        <w:t>those</w:t>
      </w:r>
      <w:r w:rsidR="00C85024" w:rsidRPr="006D30E6">
        <w:rPr>
          <w:rFonts w:cstheme="minorHAnsi"/>
          <w:sz w:val="24"/>
          <w:szCs w:val="24"/>
          <w:lang w:val="mi-NZ"/>
        </w:rPr>
        <w:t xml:space="preserve"> proposed by the PCC</w:t>
      </w:r>
      <w:r w:rsidR="00EF0CC1" w:rsidRPr="006D30E6">
        <w:rPr>
          <w:rFonts w:cstheme="minorHAnsi"/>
          <w:sz w:val="24"/>
          <w:szCs w:val="24"/>
          <w:lang w:val="mi-NZ"/>
        </w:rPr>
        <w:t xml:space="preserve">, with the exception that we </w:t>
      </w:r>
      <w:r w:rsidR="00E04779" w:rsidRPr="006D30E6">
        <w:rPr>
          <w:rFonts w:cstheme="minorHAnsi"/>
          <w:sz w:val="24"/>
          <w:szCs w:val="24"/>
          <w:lang w:val="mi-NZ"/>
        </w:rPr>
        <w:t>will not</w:t>
      </w:r>
      <w:r w:rsidR="00EF0CC1" w:rsidRPr="006D30E6">
        <w:rPr>
          <w:rFonts w:cstheme="minorHAnsi"/>
          <w:sz w:val="24"/>
          <w:szCs w:val="24"/>
          <w:lang w:val="mi-NZ"/>
        </w:rPr>
        <w:t xml:space="preserve"> limit the requirement of disclosure to a two year period</w:t>
      </w:r>
      <w:r w:rsidR="00653AED" w:rsidRPr="006D30E6">
        <w:rPr>
          <w:rFonts w:cstheme="minorHAnsi"/>
          <w:sz w:val="24"/>
          <w:szCs w:val="24"/>
          <w:lang w:val="mi-NZ"/>
        </w:rPr>
        <w:t xml:space="preserve">. Ms Hanley </w:t>
      </w:r>
      <w:r w:rsidR="0024259F" w:rsidRPr="006D30E6">
        <w:rPr>
          <w:rFonts w:cstheme="minorHAnsi"/>
          <w:sz w:val="24"/>
          <w:szCs w:val="24"/>
          <w:lang w:val="mi-NZ"/>
        </w:rPr>
        <w:t xml:space="preserve">will be required to </w:t>
      </w:r>
      <w:r w:rsidR="00653AED" w:rsidRPr="006D30E6">
        <w:rPr>
          <w:rFonts w:cstheme="minorHAnsi"/>
          <w:sz w:val="24"/>
          <w:szCs w:val="24"/>
          <w:lang w:val="mi-NZ"/>
        </w:rPr>
        <w:t xml:space="preserve">undertake professional supervision for a period of two years commencing when she returns to a social work role. This supervision should include </w:t>
      </w:r>
      <w:r w:rsidR="000C7B85" w:rsidRPr="006D30E6">
        <w:rPr>
          <w:rFonts w:cstheme="minorHAnsi"/>
          <w:sz w:val="24"/>
          <w:szCs w:val="24"/>
          <w:lang w:val="mi-NZ"/>
        </w:rPr>
        <w:t xml:space="preserve">reflection regarding </w:t>
      </w:r>
      <w:r w:rsidR="00653AED" w:rsidRPr="006D30E6">
        <w:rPr>
          <w:rFonts w:cstheme="minorHAnsi"/>
          <w:sz w:val="24"/>
          <w:szCs w:val="24"/>
          <w:lang w:val="mi-NZ"/>
        </w:rPr>
        <w:t>the maintenance of professional boundaries</w:t>
      </w:r>
      <w:r w:rsidR="00270200">
        <w:rPr>
          <w:rFonts w:cstheme="minorHAnsi"/>
          <w:sz w:val="24"/>
          <w:szCs w:val="24"/>
          <w:lang w:val="mi-NZ"/>
        </w:rPr>
        <w:t>,</w:t>
      </w:r>
      <w:r w:rsidR="0024259F" w:rsidRPr="006D30E6">
        <w:rPr>
          <w:rFonts w:cstheme="minorHAnsi"/>
          <w:sz w:val="24"/>
          <w:szCs w:val="24"/>
          <w:lang w:val="mi-NZ"/>
        </w:rPr>
        <w:t xml:space="preserve"> </w:t>
      </w:r>
      <w:r w:rsidR="000C7B85" w:rsidRPr="006D30E6">
        <w:rPr>
          <w:rFonts w:cstheme="minorHAnsi"/>
          <w:sz w:val="24"/>
          <w:szCs w:val="24"/>
          <w:lang w:val="mi-NZ"/>
        </w:rPr>
        <w:t>management of occupational stress and thriving at work, and the Code of Conduct to ensure that Ms Hanley maintains the positive personal changes that she has made.</w:t>
      </w:r>
      <w:r w:rsidR="00653AED" w:rsidRPr="006D30E6">
        <w:rPr>
          <w:rFonts w:cstheme="minorHAnsi"/>
          <w:sz w:val="24"/>
          <w:szCs w:val="24"/>
          <w:lang w:val="mi-NZ"/>
        </w:rPr>
        <w:t xml:space="preserve"> </w:t>
      </w:r>
      <w:r w:rsidR="0024259F" w:rsidRPr="006D30E6">
        <w:rPr>
          <w:rFonts w:cstheme="minorHAnsi"/>
          <w:sz w:val="24"/>
          <w:szCs w:val="24"/>
          <w:lang w:val="mi-NZ"/>
        </w:rPr>
        <w:t>Ms H</w:t>
      </w:r>
      <w:r w:rsidR="00E04779" w:rsidRPr="006D30E6">
        <w:rPr>
          <w:rFonts w:cstheme="minorHAnsi"/>
          <w:sz w:val="24"/>
          <w:szCs w:val="24"/>
          <w:lang w:val="mi-NZ"/>
        </w:rPr>
        <w:t>a</w:t>
      </w:r>
      <w:r w:rsidR="0024259F" w:rsidRPr="006D30E6">
        <w:rPr>
          <w:rFonts w:cstheme="minorHAnsi"/>
          <w:sz w:val="24"/>
          <w:szCs w:val="24"/>
          <w:lang w:val="mi-NZ"/>
        </w:rPr>
        <w:t>nley’s supervisor should be</w:t>
      </w:r>
      <w:r w:rsidR="00E04779" w:rsidRPr="006D30E6">
        <w:rPr>
          <w:rFonts w:cstheme="minorHAnsi"/>
          <w:sz w:val="24"/>
          <w:szCs w:val="24"/>
          <w:lang w:val="mi-NZ"/>
        </w:rPr>
        <w:t xml:space="preserve"> a senior social worker</w:t>
      </w:r>
      <w:r w:rsidR="0024259F" w:rsidRPr="006D30E6">
        <w:rPr>
          <w:rFonts w:cstheme="minorHAnsi"/>
          <w:sz w:val="24"/>
          <w:szCs w:val="24"/>
          <w:lang w:val="mi-NZ"/>
        </w:rPr>
        <w:t xml:space="preserve"> approved by the Board</w:t>
      </w:r>
      <w:r w:rsidR="002C34FF" w:rsidRPr="006D30E6">
        <w:rPr>
          <w:rFonts w:cstheme="minorHAnsi"/>
          <w:sz w:val="24"/>
          <w:szCs w:val="24"/>
          <w:lang w:val="mi-NZ"/>
        </w:rPr>
        <w:t xml:space="preserve"> </w:t>
      </w:r>
      <w:r w:rsidR="0024259F" w:rsidRPr="006D30E6">
        <w:rPr>
          <w:rFonts w:cstheme="minorHAnsi"/>
          <w:sz w:val="24"/>
          <w:szCs w:val="24"/>
          <w:lang w:val="mi-NZ"/>
        </w:rPr>
        <w:t>with appropriate experience and skills. We</w:t>
      </w:r>
      <w:r w:rsidR="00653AED" w:rsidRPr="006D30E6">
        <w:rPr>
          <w:rFonts w:cstheme="minorHAnsi"/>
          <w:sz w:val="24"/>
          <w:szCs w:val="24"/>
          <w:lang w:val="mi-NZ"/>
        </w:rPr>
        <w:t xml:space="preserve"> do not stipulate that this be external supervision, nor any other matters such as reporting to the Board, as we consider in this case these </w:t>
      </w:r>
      <w:r w:rsidR="0024259F" w:rsidRPr="006D30E6">
        <w:rPr>
          <w:rFonts w:cstheme="minorHAnsi"/>
          <w:sz w:val="24"/>
          <w:szCs w:val="24"/>
          <w:lang w:val="mi-NZ"/>
        </w:rPr>
        <w:t>matters</w:t>
      </w:r>
      <w:r w:rsidR="00653AED" w:rsidRPr="006D30E6">
        <w:rPr>
          <w:rFonts w:cstheme="minorHAnsi"/>
          <w:sz w:val="24"/>
          <w:szCs w:val="24"/>
          <w:lang w:val="mi-NZ"/>
        </w:rPr>
        <w:t xml:space="preserve"> can be addressed between Ms Hanley and her </w:t>
      </w:r>
      <w:r w:rsidR="0024259F" w:rsidRPr="006D30E6">
        <w:rPr>
          <w:rFonts w:cstheme="minorHAnsi"/>
          <w:sz w:val="24"/>
          <w:szCs w:val="24"/>
          <w:lang w:val="mi-NZ"/>
        </w:rPr>
        <w:t xml:space="preserve">future </w:t>
      </w:r>
      <w:r w:rsidR="00653AED" w:rsidRPr="006D30E6">
        <w:rPr>
          <w:rFonts w:cstheme="minorHAnsi"/>
          <w:sz w:val="24"/>
          <w:szCs w:val="24"/>
          <w:lang w:val="mi-NZ"/>
        </w:rPr>
        <w:t xml:space="preserve">employer. </w:t>
      </w:r>
      <w:r w:rsidR="009D137F" w:rsidRPr="006D30E6">
        <w:rPr>
          <w:rFonts w:cstheme="minorHAnsi"/>
          <w:sz w:val="24"/>
          <w:szCs w:val="24"/>
          <w:lang w:val="mi-NZ"/>
        </w:rPr>
        <w:t xml:space="preserve"> </w:t>
      </w:r>
    </w:p>
    <w:p w14:paraId="19331F5D" w14:textId="77777777" w:rsidR="00653AED" w:rsidRPr="006D30E6" w:rsidRDefault="00653AED" w:rsidP="00D9076C">
      <w:pPr>
        <w:pStyle w:val="ListParagraph"/>
        <w:ind w:left="567" w:hanging="567"/>
        <w:jc w:val="both"/>
        <w:rPr>
          <w:rFonts w:cstheme="minorHAnsi"/>
          <w:sz w:val="24"/>
          <w:szCs w:val="24"/>
          <w:lang w:val="mi-NZ"/>
        </w:rPr>
      </w:pPr>
    </w:p>
    <w:p w14:paraId="534D948A" w14:textId="061E995D" w:rsidR="00C85024" w:rsidRPr="006D30E6" w:rsidRDefault="00C85024" w:rsidP="00D9076C">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 xml:space="preserve">The Tribunal also </w:t>
      </w:r>
      <w:r w:rsidR="0024259F" w:rsidRPr="006D30E6">
        <w:rPr>
          <w:rFonts w:cstheme="minorHAnsi"/>
          <w:sz w:val="24"/>
          <w:szCs w:val="24"/>
          <w:lang w:val="mi-NZ"/>
        </w:rPr>
        <w:t xml:space="preserve">considers </w:t>
      </w:r>
      <w:r w:rsidRPr="006D30E6">
        <w:rPr>
          <w:rFonts w:cstheme="minorHAnsi"/>
          <w:sz w:val="24"/>
          <w:szCs w:val="24"/>
          <w:lang w:val="mi-NZ"/>
        </w:rPr>
        <w:t>censure</w:t>
      </w:r>
      <w:r w:rsidR="0024259F" w:rsidRPr="006D30E6">
        <w:rPr>
          <w:rFonts w:cstheme="minorHAnsi"/>
          <w:sz w:val="24"/>
          <w:szCs w:val="24"/>
          <w:lang w:val="mi-NZ"/>
        </w:rPr>
        <w:t xml:space="preserve"> appropriate</w:t>
      </w:r>
      <w:r w:rsidRPr="006D30E6">
        <w:rPr>
          <w:rFonts w:cstheme="minorHAnsi"/>
          <w:sz w:val="24"/>
          <w:szCs w:val="24"/>
          <w:lang w:val="mi-NZ"/>
        </w:rPr>
        <w:t>.</w:t>
      </w:r>
    </w:p>
    <w:p w14:paraId="703ED03C" w14:textId="77777777" w:rsidR="0086002F" w:rsidRPr="006D30E6" w:rsidRDefault="0086002F" w:rsidP="00D9076C">
      <w:pPr>
        <w:pStyle w:val="ListParagraph"/>
        <w:ind w:left="567" w:hanging="567"/>
        <w:rPr>
          <w:rFonts w:cstheme="minorHAnsi"/>
          <w:sz w:val="24"/>
          <w:szCs w:val="24"/>
          <w:lang w:val="mi-NZ"/>
        </w:rPr>
      </w:pPr>
    </w:p>
    <w:p w14:paraId="3F6DBED5" w14:textId="61BB2AC9" w:rsidR="0086002F" w:rsidRPr="006D30E6" w:rsidRDefault="0086002F" w:rsidP="00D9076C">
      <w:pPr>
        <w:pStyle w:val="ListParagraph"/>
        <w:ind w:left="567" w:hanging="567"/>
        <w:jc w:val="both"/>
        <w:rPr>
          <w:rFonts w:cstheme="minorHAnsi"/>
          <w:b/>
          <w:bCs/>
          <w:sz w:val="24"/>
          <w:szCs w:val="24"/>
          <w:lang w:val="mi-NZ"/>
        </w:rPr>
      </w:pPr>
      <w:r w:rsidRPr="006D30E6">
        <w:rPr>
          <w:rFonts w:cstheme="minorHAnsi"/>
          <w:b/>
          <w:bCs/>
          <w:sz w:val="24"/>
          <w:szCs w:val="24"/>
          <w:lang w:val="mi-NZ"/>
        </w:rPr>
        <w:t>Costs</w:t>
      </w:r>
    </w:p>
    <w:p w14:paraId="64654592" w14:textId="77777777" w:rsidR="00C85024" w:rsidRPr="006D30E6" w:rsidRDefault="00C85024" w:rsidP="00D9076C">
      <w:pPr>
        <w:pStyle w:val="ListParagraph"/>
        <w:ind w:left="567" w:hanging="567"/>
        <w:jc w:val="both"/>
        <w:rPr>
          <w:rFonts w:cstheme="minorHAnsi"/>
          <w:b/>
          <w:bCs/>
          <w:sz w:val="24"/>
          <w:szCs w:val="24"/>
          <w:lang w:val="mi-NZ"/>
        </w:rPr>
      </w:pPr>
    </w:p>
    <w:p w14:paraId="2A5A8FD8" w14:textId="79D435FF" w:rsidR="00A00FFF" w:rsidRPr="006D30E6" w:rsidRDefault="002C34FF" w:rsidP="00D9076C">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T</w:t>
      </w:r>
      <w:r w:rsidR="00A00FFF" w:rsidRPr="006D30E6">
        <w:rPr>
          <w:rFonts w:cstheme="minorHAnsi"/>
          <w:sz w:val="24"/>
          <w:szCs w:val="24"/>
          <w:lang w:val="mi-NZ"/>
        </w:rPr>
        <w:t xml:space="preserve">he disciplinary process serves a necessary and important function in meeting the purposes of the Act. The costs involved can be significant </w:t>
      </w:r>
      <w:r w:rsidR="00B25D4F" w:rsidRPr="006D30E6">
        <w:rPr>
          <w:rFonts w:cstheme="minorHAnsi"/>
          <w:sz w:val="24"/>
          <w:szCs w:val="24"/>
          <w:lang w:val="mi-NZ"/>
        </w:rPr>
        <w:t>and</w:t>
      </w:r>
      <w:r w:rsidR="00A00FFF" w:rsidRPr="006D30E6">
        <w:rPr>
          <w:rFonts w:cstheme="minorHAnsi"/>
          <w:sz w:val="24"/>
          <w:szCs w:val="24"/>
          <w:lang w:val="mi-NZ"/>
        </w:rPr>
        <w:t xml:space="preserve"> are largely borne by the profession</w:t>
      </w:r>
      <w:r w:rsidR="00B25D4F" w:rsidRPr="006D30E6">
        <w:rPr>
          <w:rFonts w:cstheme="minorHAnsi"/>
          <w:sz w:val="24"/>
          <w:szCs w:val="24"/>
          <w:lang w:val="mi-NZ"/>
        </w:rPr>
        <w:t>. Practitione</w:t>
      </w:r>
      <w:r w:rsidRPr="006D30E6">
        <w:rPr>
          <w:rFonts w:cstheme="minorHAnsi"/>
          <w:sz w:val="24"/>
          <w:szCs w:val="24"/>
          <w:lang w:val="mi-NZ"/>
        </w:rPr>
        <w:t>r</w:t>
      </w:r>
      <w:r w:rsidR="00B25D4F" w:rsidRPr="006D30E6">
        <w:rPr>
          <w:rFonts w:cstheme="minorHAnsi"/>
          <w:sz w:val="24"/>
          <w:szCs w:val="24"/>
          <w:lang w:val="mi-NZ"/>
        </w:rPr>
        <w:t>s appearing before the Tribunal often have limited</w:t>
      </w:r>
      <w:r w:rsidR="0024259F" w:rsidRPr="006D30E6">
        <w:rPr>
          <w:rFonts w:cstheme="minorHAnsi"/>
          <w:sz w:val="24"/>
          <w:szCs w:val="24"/>
          <w:lang w:val="mi-NZ"/>
        </w:rPr>
        <w:t xml:space="preserve"> financial </w:t>
      </w:r>
      <w:r w:rsidRPr="006D30E6">
        <w:rPr>
          <w:rFonts w:cstheme="minorHAnsi"/>
          <w:sz w:val="24"/>
          <w:szCs w:val="24"/>
          <w:lang w:val="mi-NZ"/>
        </w:rPr>
        <w:t>means</w:t>
      </w:r>
      <w:r w:rsidR="00B25D4F" w:rsidRPr="006D30E6">
        <w:rPr>
          <w:rFonts w:cstheme="minorHAnsi"/>
          <w:sz w:val="24"/>
          <w:szCs w:val="24"/>
          <w:lang w:val="mi-NZ"/>
        </w:rPr>
        <w:t xml:space="preserve">. </w:t>
      </w:r>
      <w:r w:rsidR="0024259F" w:rsidRPr="006D30E6">
        <w:rPr>
          <w:rFonts w:cstheme="minorHAnsi"/>
          <w:sz w:val="24"/>
          <w:szCs w:val="24"/>
          <w:lang w:val="mi-NZ"/>
        </w:rPr>
        <w:t>The</w:t>
      </w:r>
      <w:r w:rsidR="00A00FFF" w:rsidRPr="006D30E6">
        <w:rPr>
          <w:rFonts w:cstheme="minorHAnsi"/>
          <w:sz w:val="24"/>
          <w:szCs w:val="24"/>
          <w:lang w:val="mi-NZ"/>
        </w:rPr>
        <w:t xml:space="preserve"> majority </w:t>
      </w:r>
      <w:r w:rsidRPr="006D30E6">
        <w:rPr>
          <w:rFonts w:cstheme="minorHAnsi"/>
          <w:sz w:val="24"/>
          <w:szCs w:val="24"/>
          <w:lang w:val="mi-NZ"/>
        </w:rPr>
        <w:t xml:space="preserve">appearing before the Tribunal </w:t>
      </w:r>
      <w:r w:rsidR="0024259F" w:rsidRPr="006D30E6">
        <w:rPr>
          <w:rFonts w:cstheme="minorHAnsi"/>
          <w:sz w:val="24"/>
          <w:szCs w:val="24"/>
          <w:lang w:val="mi-NZ"/>
        </w:rPr>
        <w:t>to date have been</w:t>
      </w:r>
      <w:r w:rsidR="00A00FFF" w:rsidRPr="006D30E6">
        <w:rPr>
          <w:rFonts w:cstheme="minorHAnsi"/>
          <w:sz w:val="24"/>
          <w:szCs w:val="24"/>
          <w:lang w:val="mi-NZ"/>
        </w:rPr>
        <w:t xml:space="preserve"> unrepresented and </w:t>
      </w:r>
      <w:r w:rsidR="00B25D4F" w:rsidRPr="006D30E6">
        <w:rPr>
          <w:rFonts w:cstheme="minorHAnsi"/>
          <w:sz w:val="24"/>
          <w:szCs w:val="24"/>
          <w:lang w:val="mi-NZ"/>
        </w:rPr>
        <w:t xml:space="preserve">unfortunately </w:t>
      </w:r>
      <w:r w:rsidR="00A00FFF" w:rsidRPr="006D30E6">
        <w:rPr>
          <w:rFonts w:cstheme="minorHAnsi"/>
          <w:sz w:val="24"/>
          <w:szCs w:val="24"/>
          <w:lang w:val="mi-NZ"/>
        </w:rPr>
        <w:t>without professional indemnity insu</w:t>
      </w:r>
      <w:r w:rsidR="0024259F" w:rsidRPr="006D30E6">
        <w:rPr>
          <w:rFonts w:cstheme="minorHAnsi"/>
          <w:sz w:val="24"/>
          <w:szCs w:val="24"/>
          <w:lang w:val="mi-NZ"/>
        </w:rPr>
        <w:t>r</w:t>
      </w:r>
      <w:r w:rsidR="00A00FFF" w:rsidRPr="006D30E6">
        <w:rPr>
          <w:rFonts w:cstheme="minorHAnsi"/>
          <w:sz w:val="24"/>
          <w:szCs w:val="24"/>
          <w:lang w:val="mi-NZ"/>
        </w:rPr>
        <w:t>ance</w:t>
      </w:r>
      <w:r w:rsidR="00B25D4F" w:rsidRPr="006D30E6">
        <w:rPr>
          <w:rFonts w:cstheme="minorHAnsi"/>
          <w:sz w:val="24"/>
          <w:szCs w:val="24"/>
          <w:lang w:val="mi-NZ"/>
        </w:rPr>
        <w:t>,</w:t>
      </w:r>
      <w:r w:rsidRPr="006D30E6">
        <w:rPr>
          <w:rFonts w:cstheme="minorHAnsi"/>
          <w:sz w:val="24"/>
          <w:szCs w:val="24"/>
          <w:lang w:val="mi-NZ"/>
        </w:rPr>
        <w:t xml:space="preserve"> which by ref</w:t>
      </w:r>
      <w:r w:rsidR="001C679A" w:rsidRPr="006D30E6">
        <w:rPr>
          <w:rFonts w:cstheme="minorHAnsi"/>
          <w:sz w:val="24"/>
          <w:szCs w:val="24"/>
          <w:lang w:val="mi-NZ"/>
        </w:rPr>
        <w:t>e</w:t>
      </w:r>
      <w:r w:rsidRPr="006D30E6">
        <w:rPr>
          <w:rFonts w:cstheme="minorHAnsi"/>
          <w:sz w:val="24"/>
          <w:szCs w:val="24"/>
          <w:lang w:val="mi-NZ"/>
        </w:rPr>
        <w:t>re</w:t>
      </w:r>
      <w:r w:rsidR="001C679A" w:rsidRPr="006D30E6">
        <w:rPr>
          <w:rFonts w:cstheme="minorHAnsi"/>
          <w:sz w:val="24"/>
          <w:szCs w:val="24"/>
          <w:lang w:val="mi-NZ"/>
        </w:rPr>
        <w:t xml:space="preserve">nce to </w:t>
      </w:r>
      <w:r w:rsidRPr="006D30E6">
        <w:rPr>
          <w:rFonts w:cstheme="minorHAnsi"/>
          <w:sz w:val="24"/>
          <w:szCs w:val="24"/>
          <w:lang w:val="mi-NZ"/>
        </w:rPr>
        <w:t>the experience of other professions</w:t>
      </w:r>
      <w:r w:rsidR="0024259F" w:rsidRPr="006D30E6">
        <w:rPr>
          <w:rFonts w:cstheme="minorHAnsi"/>
          <w:sz w:val="24"/>
          <w:szCs w:val="24"/>
          <w:lang w:val="mi-NZ"/>
        </w:rPr>
        <w:t xml:space="preserve"> is</w:t>
      </w:r>
      <w:r w:rsidR="001C679A" w:rsidRPr="006D30E6">
        <w:rPr>
          <w:rFonts w:cstheme="minorHAnsi"/>
          <w:sz w:val="24"/>
          <w:szCs w:val="24"/>
          <w:lang w:val="mi-NZ"/>
        </w:rPr>
        <w:t xml:space="preserve"> of</w:t>
      </w:r>
      <w:r w:rsidR="00A00FFF" w:rsidRPr="006D30E6">
        <w:rPr>
          <w:rFonts w:cstheme="minorHAnsi"/>
          <w:sz w:val="24"/>
          <w:szCs w:val="24"/>
          <w:lang w:val="mi-NZ"/>
        </w:rPr>
        <w:t xml:space="preserve"> </w:t>
      </w:r>
      <w:r w:rsidR="0024259F" w:rsidRPr="006D30E6">
        <w:rPr>
          <w:rFonts w:cstheme="minorHAnsi"/>
          <w:sz w:val="24"/>
          <w:szCs w:val="24"/>
          <w:lang w:val="mi-NZ"/>
        </w:rPr>
        <w:t xml:space="preserve">substantial </w:t>
      </w:r>
      <w:r w:rsidR="00A00FFF" w:rsidRPr="006D30E6">
        <w:rPr>
          <w:rFonts w:cstheme="minorHAnsi"/>
          <w:sz w:val="24"/>
          <w:szCs w:val="24"/>
          <w:lang w:val="mi-NZ"/>
        </w:rPr>
        <w:t xml:space="preserve">assistance when </w:t>
      </w:r>
      <w:r w:rsidR="001C679A" w:rsidRPr="006D30E6">
        <w:rPr>
          <w:rFonts w:cstheme="minorHAnsi"/>
          <w:sz w:val="24"/>
          <w:szCs w:val="24"/>
          <w:lang w:val="mi-NZ"/>
        </w:rPr>
        <w:t xml:space="preserve">complaints and </w:t>
      </w:r>
      <w:r w:rsidR="00A00FFF" w:rsidRPr="006D30E6">
        <w:rPr>
          <w:rFonts w:cstheme="minorHAnsi"/>
          <w:sz w:val="24"/>
          <w:szCs w:val="24"/>
          <w:lang w:val="mi-NZ"/>
        </w:rPr>
        <w:t>disciplinary matters arise.</w:t>
      </w:r>
      <w:r w:rsidR="001C679A" w:rsidRPr="006D30E6">
        <w:rPr>
          <w:rFonts w:cstheme="minorHAnsi"/>
          <w:sz w:val="24"/>
          <w:szCs w:val="24"/>
          <w:lang w:val="mi-NZ"/>
        </w:rPr>
        <w:t xml:space="preserve"> </w:t>
      </w:r>
    </w:p>
    <w:p w14:paraId="6F4D21A4" w14:textId="77777777" w:rsidR="00A00FFF" w:rsidRPr="006D30E6" w:rsidRDefault="00A00FFF" w:rsidP="00D9076C">
      <w:pPr>
        <w:pStyle w:val="ListParagraph"/>
        <w:ind w:left="567" w:hanging="567"/>
        <w:jc w:val="both"/>
        <w:rPr>
          <w:rFonts w:cstheme="minorHAnsi"/>
          <w:sz w:val="24"/>
          <w:szCs w:val="24"/>
          <w:lang w:val="mi-NZ"/>
        </w:rPr>
      </w:pPr>
    </w:p>
    <w:p w14:paraId="3E1A57EF" w14:textId="6E3509C3" w:rsidR="00C85024" w:rsidRPr="006D30E6" w:rsidRDefault="00C85024" w:rsidP="00D9076C">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 xml:space="preserve">The principles of costs in professional disciplinary proceedings, as with the penalty principles, are well-established. We have followed the guidance of the High Court in </w:t>
      </w:r>
      <w:r w:rsidRPr="006D30E6">
        <w:rPr>
          <w:rFonts w:cstheme="minorHAnsi"/>
          <w:i/>
          <w:iCs/>
          <w:sz w:val="24"/>
          <w:szCs w:val="24"/>
          <w:lang w:val="mi-NZ"/>
        </w:rPr>
        <w:t>Vatsyayann</w:t>
      </w:r>
      <w:r w:rsidR="00A00FFF" w:rsidRPr="006D30E6">
        <w:rPr>
          <w:rFonts w:cstheme="minorHAnsi"/>
          <w:i/>
          <w:iCs/>
          <w:sz w:val="24"/>
          <w:szCs w:val="24"/>
          <w:lang w:val="mi-NZ"/>
        </w:rPr>
        <w:t xml:space="preserve"> v Professional Conduct Committee</w:t>
      </w:r>
      <w:r w:rsidR="00A00FFF" w:rsidRPr="006D30E6">
        <w:rPr>
          <w:rStyle w:val="FootnoteReference"/>
          <w:rFonts w:cstheme="minorHAnsi"/>
          <w:i/>
          <w:iCs/>
          <w:sz w:val="24"/>
          <w:szCs w:val="24"/>
          <w:lang w:val="mi-NZ"/>
        </w:rPr>
        <w:footnoteReference w:id="13"/>
      </w:r>
      <w:r w:rsidRPr="006D30E6">
        <w:rPr>
          <w:rFonts w:cstheme="minorHAnsi"/>
          <w:sz w:val="24"/>
          <w:szCs w:val="24"/>
          <w:lang w:val="mi-NZ"/>
        </w:rPr>
        <w:t xml:space="preserve"> as this Tribunal has previously done</w:t>
      </w:r>
      <w:r w:rsidR="00A00FFF" w:rsidRPr="006D30E6">
        <w:rPr>
          <w:rStyle w:val="FootnoteReference"/>
          <w:rFonts w:cstheme="minorHAnsi"/>
          <w:sz w:val="24"/>
          <w:szCs w:val="24"/>
          <w:lang w:val="mi-NZ"/>
        </w:rPr>
        <w:footnoteReference w:id="14"/>
      </w:r>
      <w:r w:rsidRPr="006D30E6">
        <w:rPr>
          <w:rFonts w:cstheme="minorHAnsi"/>
          <w:sz w:val="24"/>
          <w:szCs w:val="24"/>
          <w:lang w:val="mi-NZ"/>
        </w:rPr>
        <w:t xml:space="preserve">, in </w:t>
      </w:r>
      <w:r w:rsidR="00B25D4F" w:rsidRPr="006D30E6">
        <w:rPr>
          <w:rFonts w:cstheme="minorHAnsi"/>
          <w:sz w:val="24"/>
          <w:szCs w:val="24"/>
          <w:lang w:val="mi-NZ"/>
        </w:rPr>
        <w:t>applyin</w:t>
      </w:r>
      <w:r w:rsidRPr="006D30E6">
        <w:rPr>
          <w:rFonts w:cstheme="minorHAnsi"/>
          <w:sz w:val="24"/>
          <w:szCs w:val="24"/>
          <w:lang w:val="mi-NZ"/>
        </w:rPr>
        <w:t>g the following principles:</w:t>
      </w:r>
    </w:p>
    <w:p w14:paraId="334F0F3D" w14:textId="77777777" w:rsidR="00A00FFF" w:rsidRPr="006D30E6" w:rsidRDefault="00A00FFF" w:rsidP="00A00FFF">
      <w:pPr>
        <w:pStyle w:val="ListParagraph"/>
        <w:jc w:val="both"/>
        <w:rPr>
          <w:rFonts w:cstheme="minorHAnsi"/>
          <w:sz w:val="24"/>
          <w:szCs w:val="24"/>
          <w:lang w:val="mi-NZ"/>
        </w:rPr>
      </w:pPr>
    </w:p>
    <w:p w14:paraId="516CAE47" w14:textId="35867239" w:rsidR="00C85024" w:rsidRPr="006D30E6" w:rsidRDefault="00E12774"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t</w:t>
      </w:r>
      <w:r w:rsidR="00C85024" w:rsidRPr="006D30E6">
        <w:rPr>
          <w:rFonts w:cstheme="minorHAnsi"/>
          <w:sz w:val="24"/>
          <w:szCs w:val="24"/>
          <w:lang w:val="mi-NZ"/>
        </w:rPr>
        <w:t>he profession should not be expected to bear the full weight of costs of a disciplinary proceeding;</w:t>
      </w:r>
    </w:p>
    <w:p w14:paraId="0B9F38CD" w14:textId="77777777" w:rsidR="00A00FFF" w:rsidRPr="006D30E6" w:rsidRDefault="00A00FFF" w:rsidP="00D9076C">
      <w:pPr>
        <w:pStyle w:val="ListParagraph"/>
        <w:ind w:left="1701" w:hanging="567"/>
        <w:jc w:val="both"/>
        <w:rPr>
          <w:rFonts w:cstheme="minorHAnsi"/>
          <w:sz w:val="24"/>
          <w:szCs w:val="24"/>
          <w:lang w:val="mi-NZ"/>
        </w:rPr>
      </w:pPr>
    </w:p>
    <w:p w14:paraId="72C3D45F" w14:textId="7627FAA4" w:rsidR="00C85024" w:rsidRPr="006D30E6" w:rsidRDefault="00E12774"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s</w:t>
      </w:r>
      <w:r w:rsidR="00C85024" w:rsidRPr="006D30E6">
        <w:rPr>
          <w:rFonts w:cstheme="minorHAnsi"/>
          <w:sz w:val="24"/>
          <w:szCs w:val="24"/>
          <w:lang w:val="mi-NZ"/>
        </w:rPr>
        <w:t>ocial workers who appear on a disciplinary charge should make a proper contribution towards costs;</w:t>
      </w:r>
    </w:p>
    <w:p w14:paraId="5E6827A4" w14:textId="77777777" w:rsidR="00A00FFF" w:rsidRPr="006D30E6" w:rsidRDefault="00A00FFF" w:rsidP="00D9076C">
      <w:pPr>
        <w:pStyle w:val="ListParagraph"/>
        <w:ind w:left="1701" w:hanging="567"/>
        <w:jc w:val="both"/>
        <w:rPr>
          <w:rFonts w:cstheme="minorHAnsi"/>
          <w:sz w:val="24"/>
          <w:szCs w:val="24"/>
          <w:lang w:val="mi-NZ"/>
        </w:rPr>
      </w:pPr>
    </w:p>
    <w:p w14:paraId="67674453" w14:textId="2BC2630D" w:rsidR="00C85024" w:rsidRPr="006D30E6" w:rsidRDefault="00E12774"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i</w:t>
      </w:r>
      <w:r w:rsidR="00C85024" w:rsidRPr="006D30E6">
        <w:rPr>
          <w:rFonts w:cstheme="minorHAnsi"/>
          <w:sz w:val="24"/>
          <w:szCs w:val="24"/>
          <w:lang w:val="mi-NZ"/>
        </w:rPr>
        <w:t xml:space="preserve">f available the </w:t>
      </w:r>
      <w:r w:rsidR="00BF696A" w:rsidRPr="006D30E6">
        <w:rPr>
          <w:rFonts w:cstheme="minorHAnsi"/>
          <w:sz w:val="24"/>
          <w:szCs w:val="24"/>
          <w:lang w:val="mi-NZ"/>
        </w:rPr>
        <w:t>T</w:t>
      </w:r>
      <w:r w:rsidR="00C85024" w:rsidRPr="006D30E6">
        <w:rPr>
          <w:rFonts w:cstheme="minorHAnsi"/>
          <w:sz w:val="24"/>
          <w:szCs w:val="24"/>
          <w:lang w:val="mi-NZ"/>
        </w:rPr>
        <w:t>ribunal should take into account</w:t>
      </w:r>
      <w:r w:rsidR="00A00FFF" w:rsidRPr="006D30E6">
        <w:rPr>
          <w:rFonts w:cstheme="minorHAnsi"/>
          <w:sz w:val="24"/>
          <w:szCs w:val="24"/>
          <w:lang w:val="mi-NZ"/>
        </w:rPr>
        <w:t xml:space="preserve"> the social worker’s means</w:t>
      </w:r>
      <w:r w:rsidR="00B25D4F" w:rsidRPr="006D30E6">
        <w:rPr>
          <w:rFonts w:cstheme="minorHAnsi"/>
          <w:sz w:val="24"/>
          <w:szCs w:val="24"/>
          <w:lang w:val="mi-NZ"/>
        </w:rPr>
        <w:t xml:space="preserve">. We add that evidence should be provided in a formal way if the practitioner requests the </w:t>
      </w:r>
      <w:r w:rsidR="00BF696A" w:rsidRPr="006D30E6">
        <w:rPr>
          <w:rFonts w:cstheme="minorHAnsi"/>
          <w:sz w:val="24"/>
          <w:szCs w:val="24"/>
          <w:lang w:val="mi-NZ"/>
        </w:rPr>
        <w:t>T</w:t>
      </w:r>
      <w:r w:rsidR="00B25D4F" w:rsidRPr="006D30E6">
        <w:rPr>
          <w:rFonts w:cstheme="minorHAnsi"/>
          <w:sz w:val="24"/>
          <w:szCs w:val="24"/>
          <w:lang w:val="mi-NZ"/>
        </w:rPr>
        <w:t>ribunal to take their financial position into consideration in reducing or not imposing a costs order</w:t>
      </w:r>
      <w:r w:rsidR="00A00FFF" w:rsidRPr="006D30E6">
        <w:rPr>
          <w:rFonts w:cstheme="minorHAnsi"/>
          <w:sz w:val="24"/>
          <w:szCs w:val="24"/>
          <w:lang w:val="mi-NZ"/>
        </w:rPr>
        <w:t>;</w:t>
      </w:r>
    </w:p>
    <w:p w14:paraId="41E1D50A" w14:textId="77777777" w:rsidR="00A00FFF" w:rsidRPr="006D30E6" w:rsidRDefault="00A00FFF" w:rsidP="00D9076C">
      <w:pPr>
        <w:pStyle w:val="ListParagraph"/>
        <w:ind w:left="1701" w:hanging="567"/>
        <w:jc w:val="both"/>
        <w:rPr>
          <w:rFonts w:cstheme="minorHAnsi"/>
          <w:sz w:val="24"/>
          <w:szCs w:val="24"/>
          <w:lang w:val="mi-NZ"/>
        </w:rPr>
      </w:pPr>
    </w:p>
    <w:p w14:paraId="169FC510" w14:textId="2702341B" w:rsidR="00A00FFF" w:rsidRPr="006D30E6" w:rsidRDefault="00E12774"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p</w:t>
      </w:r>
      <w:r w:rsidR="00A00FFF" w:rsidRPr="006D30E6">
        <w:rPr>
          <w:rFonts w:cstheme="minorHAnsi"/>
          <w:sz w:val="24"/>
          <w:szCs w:val="24"/>
          <w:lang w:val="mi-NZ"/>
        </w:rPr>
        <w:t>ractitioners have the right to defend themselves and should not be deterred from doing so by the risk of a costs order;</w:t>
      </w:r>
    </w:p>
    <w:p w14:paraId="4DBB7F09" w14:textId="77777777" w:rsidR="00A00FFF" w:rsidRPr="006D30E6" w:rsidRDefault="00A00FFF" w:rsidP="00D9076C">
      <w:pPr>
        <w:pStyle w:val="ListParagraph"/>
        <w:ind w:left="1701" w:hanging="567"/>
        <w:jc w:val="both"/>
        <w:rPr>
          <w:rFonts w:cstheme="minorHAnsi"/>
          <w:sz w:val="24"/>
          <w:szCs w:val="24"/>
          <w:lang w:val="mi-NZ"/>
        </w:rPr>
      </w:pPr>
    </w:p>
    <w:p w14:paraId="27319B3A" w14:textId="7A01F50D" w:rsidR="00A00FFF" w:rsidRPr="006D30E6" w:rsidRDefault="00E12774"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i</w:t>
      </w:r>
      <w:r w:rsidR="00A00FFF" w:rsidRPr="006D30E6">
        <w:rPr>
          <w:rFonts w:cstheme="minorHAnsi"/>
          <w:sz w:val="24"/>
          <w:szCs w:val="24"/>
          <w:lang w:val="mi-NZ"/>
        </w:rPr>
        <w:t xml:space="preserve">n reliance on </w:t>
      </w:r>
      <w:r w:rsidR="00A00FFF" w:rsidRPr="006D30E6">
        <w:rPr>
          <w:rFonts w:cstheme="minorHAnsi"/>
          <w:i/>
          <w:iCs/>
          <w:sz w:val="24"/>
          <w:szCs w:val="24"/>
          <w:lang w:val="mi-NZ"/>
        </w:rPr>
        <w:t>Cooray v Preliminary Proceedings Committee</w:t>
      </w:r>
      <w:r w:rsidR="00A00FFF" w:rsidRPr="006D30E6">
        <w:rPr>
          <w:rStyle w:val="FootnoteReference"/>
          <w:rFonts w:cstheme="minorHAnsi"/>
          <w:i/>
          <w:iCs/>
          <w:sz w:val="24"/>
          <w:szCs w:val="24"/>
          <w:lang w:val="mi-NZ"/>
        </w:rPr>
        <w:footnoteReference w:id="15"/>
      </w:r>
      <w:r w:rsidR="00A00FFF" w:rsidRPr="006D30E6">
        <w:rPr>
          <w:rFonts w:cstheme="minorHAnsi"/>
          <w:sz w:val="24"/>
          <w:szCs w:val="24"/>
          <w:lang w:val="mi-NZ"/>
        </w:rPr>
        <w:t xml:space="preserve"> and the line of authorities which follow, a starting point is 50% of reasonable costs with a discretion to adjust upwards or downwards depending on the circumstances of each case.</w:t>
      </w:r>
    </w:p>
    <w:p w14:paraId="3D569CB1" w14:textId="77777777" w:rsidR="00A00FFF" w:rsidRPr="006D30E6" w:rsidRDefault="00A00FFF" w:rsidP="00A00FFF">
      <w:pPr>
        <w:pStyle w:val="ListParagraph"/>
        <w:jc w:val="both"/>
        <w:rPr>
          <w:rFonts w:cstheme="minorHAnsi"/>
          <w:sz w:val="24"/>
          <w:szCs w:val="24"/>
          <w:lang w:val="mi-NZ"/>
        </w:rPr>
      </w:pPr>
    </w:p>
    <w:p w14:paraId="4A7416D5" w14:textId="5B5EA13E" w:rsidR="00B5286C" w:rsidRPr="006D30E6" w:rsidRDefault="001C679A" w:rsidP="00D9076C">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The PCC acknowledged that Ms Hanley’s cooperation with the investigation enabled costs to be</w:t>
      </w:r>
      <w:r w:rsidR="00B25D4F" w:rsidRPr="006D30E6">
        <w:rPr>
          <w:rFonts w:cstheme="minorHAnsi"/>
          <w:sz w:val="24"/>
          <w:szCs w:val="24"/>
          <w:lang w:val="mi-NZ"/>
        </w:rPr>
        <w:t xml:space="preserve"> kept</w:t>
      </w:r>
      <w:r w:rsidRPr="006D30E6">
        <w:rPr>
          <w:rFonts w:cstheme="minorHAnsi"/>
          <w:sz w:val="24"/>
          <w:szCs w:val="24"/>
          <w:lang w:val="mi-NZ"/>
        </w:rPr>
        <w:t xml:space="preserve"> at a more moderate level than they might otherwise have been. The agreement of the parties to conduct the half day hearing by way of AVL also assisted in managing costs</w:t>
      </w:r>
      <w:r w:rsidR="00E12774" w:rsidRPr="006D30E6">
        <w:rPr>
          <w:rFonts w:cstheme="minorHAnsi"/>
          <w:sz w:val="24"/>
          <w:szCs w:val="24"/>
          <w:lang w:val="mi-NZ"/>
        </w:rPr>
        <w:t xml:space="preserve"> and t</w:t>
      </w:r>
      <w:r w:rsidRPr="006D30E6">
        <w:rPr>
          <w:rFonts w:cstheme="minorHAnsi"/>
          <w:sz w:val="24"/>
          <w:szCs w:val="24"/>
          <w:lang w:val="mi-NZ"/>
        </w:rPr>
        <w:t>he preparation done in advance by both parties minimised the time required for hearing.</w:t>
      </w:r>
      <w:r w:rsidR="0086798D" w:rsidRPr="006D30E6">
        <w:rPr>
          <w:rFonts w:cstheme="minorHAnsi"/>
          <w:sz w:val="24"/>
          <w:szCs w:val="24"/>
          <w:lang w:val="mi-NZ"/>
        </w:rPr>
        <w:t xml:space="preserve"> </w:t>
      </w:r>
      <w:r w:rsidRPr="006D30E6">
        <w:rPr>
          <w:rFonts w:cstheme="minorHAnsi"/>
          <w:sz w:val="24"/>
          <w:szCs w:val="24"/>
          <w:lang w:val="mi-NZ"/>
        </w:rPr>
        <w:t xml:space="preserve"> Mr Regan referred to the financial information provided </w:t>
      </w:r>
      <w:r w:rsidR="00B25D4F" w:rsidRPr="006D30E6">
        <w:rPr>
          <w:rFonts w:cstheme="minorHAnsi"/>
          <w:sz w:val="24"/>
          <w:szCs w:val="24"/>
          <w:lang w:val="mi-NZ"/>
        </w:rPr>
        <w:t xml:space="preserve">by </w:t>
      </w:r>
      <w:r w:rsidRPr="006D30E6">
        <w:rPr>
          <w:rFonts w:cstheme="minorHAnsi"/>
          <w:sz w:val="24"/>
          <w:szCs w:val="24"/>
          <w:lang w:val="mi-NZ"/>
        </w:rPr>
        <w:t xml:space="preserve">Ms Hanley and acknowledged that while some costs award was appropriate </w:t>
      </w:r>
      <w:r w:rsidR="00B25D4F" w:rsidRPr="006D30E6">
        <w:rPr>
          <w:rFonts w:cstheme="minorHAnsi"/>
          <w:sz w:val="24"/>
          <w:szCs w:val="24"/>
          <w:lang w:val="mi-NZ"/>
        </w:rPr>
        <w:t xml:space="preserve">her limited financial means </w:t>
      </w:r>
      <w:r w:rsidRPr="006D30E6">
        <w:rPr>
          <w:rFonts w:cstheme="minorHAnsi"/>
          <w:sz w:val="24"/>
          <w:szCs w:val="24"/>
          <w:lang w:val="mi-NZ"/>
        </w:rPr>
        <w:t xml:space="preserve">would have a significant bearing on the level imposed. We agree with Mr Regan that costs should not </w:t>
      </w:r>
      <w:r w:rsidR="00E12774" w:rsidRPr="006D30E6">
        <w:rPr>
          <w:rFonts w:cstheme="minorHAnsi"/>
          <w:sz w:val="24"/>
          <w:szCs w:val="24"/>
          <w:lang w:val="mi-NZ"/>
        </w:rPr>
        <w:t>“</w:t>
      </w:r>
      <w:r w:rsidRPr="006D30E6">
        <w:rPr>
          <w:rFonts w:cstheme="minorHAnsi"/>
          <w:sz w:val="24"/>
          <w:szCs w:val="24"/>
          <w:lang w:val="mi-NZ"/>
        </w:rPr>
        <w:t>cripple</w:t>
      </w:r>
      <w:r w:rsidR="00E12774" w:rsidRPr="006D30E6">
        <w:rPr>
          <w:rFonts w:cstheme="minorHAnsi"/>
          <w:sz w:val="24"/>
          <w:szCs w:val="24"/>
          <w:lang w:val="mi-NZ"/>
        </w:rPr>
        <w:t>”</w:t>
      </w:r>
      <w:r w:rsidRPr="006D30E6">
        <w:rPr>
          <w:rFonts w:cstheme="minorHAnsi"/>
          <w:sz w:val="24"/>
          <w:szCs w:val="24"/>
          <w:lang w:val="mi-NZ"/>
        </w:rPr>
        <w:t xml:space="preserve"> a practitioner, and nor are they intended to be punitive.</w:t>
      </w:r>
    </w:p>
    <w:p w14:paraId="5DAD8EB0" w14:textId="77777777" w:rsidR="00B5286C" w:rsidRPr="006D30E6" w:rsidRDefault="00B5286C" w:rsidP="00D9076C">
      <w:pPr>
        <w:pStyle w:val="ListParagraph"/>
        <w:ind w:left="567" w:hanging="567"/>
        <w:jc w:val="both"/>
        <w:rPr>
          <w:rFonts w:cstheme="minorHAnsi"/>
          <w:sz w:val="24"/>
          <w:szCs w:val="24"/>
          <w:lang w:val="mi-NZ"/>
        </w:rPr>
      </w:pPr>
    </w:p>
    <w:p w14:paraId="3B4B955B" w14:textId="0A4FF081" w:rsidR="00B5286C" w:rsidRPr="006D30E6" w:rsidRDefault="00B5286C" w:rsidP="00D9076C">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 xml:space="preserve">This Tribunal has </w:t>
      </w:r>
      <w:r w:rsidR="001C679A" w:rsidRPr="006D30E6">
        <w:rPr>
          <w:rFonts w:cstheme="minorHAnsi"/>
          <w:sz w:val="24"/>
          <w:szCs w:val="24"/>
          <w:lang w:val="mi-NZ"/>
        </w:rPr>
        <w:t xml:space="preserve">considered the information put before us by Ms Hanley as to her and her family’s financial position. </w:t>
      </w:r>
      <w:r w:rsidR="00B25D4F" w:rsidRPr="006D30E6">
        <w:rPr>
          <w:rFonts w:cstheme="minorHAnsi"/>
          <w:sz w:val="24"/>
          <w:szCs w:val="24"/>
          <w:lang w:val="mi-NZ"/>
        </w:rPr>
        <w:t>They currently live off her husband’s income and have modest expenses due to living a modest lifestyle and assisted by Ms Hanley having addressed certain regular outgoings</w:t>
      </w:r>
      <w:r w:rsidR="00C21E6A" w:rsidRPr="006D30E6">
        <w:rPr>
          <w:rFonts w:cstheme="minorHAnsi"/>
          <w:sz w:val="24"/>
          <w:szCs w:val="24"/>
          <w:lang w:val="mi-NZ"/>
        </w:rPr>
        <w:t xml:space="preserve"> from savings</w:t>
      </w:r>
      <w:r w:rsidR="00B25D4F" w:rsidRPr="006D30E6">
        <w:rPr>
          <w:rFonts w:cstheme="minorHAnsi"/>
          <w:sz w:val="24"/>
          <w:szCs w:val="24"/>
          <w:lang w:val="mi-NZ"/>
        </w:rPr>
        <w:t xml:space="preserve"> in advance in mid 20</w:t>
      </w:r>
      <w:r w:rsidR="00C21E6A" w:rsidRPr="006D30E6">
        <w:rPr>
          <w:rFonts w:cstheme="minorHAnsi"/>
          <w:sz w:val="24"/>
          <w:szCs w:val="24"/>
          <w:lang w:val="mi-NZ"/>
        </w:rPr>
        <w:t>20</w:t>
      </w:r>
      <w:r w:rsidR="00B25D4F" w:rsidRPr="006D30E6">
        <w:rPr>
          <w:rFonts w:cstheme="minorHAnsi"/>
          <w:sz w:val="24"/>
          <w:szCs w:val="24"/>
          <w:lang w:val="mi-NZ"/>
        </w:rPr>
        <w:t>. Those regular expenses will need to be met however from mid 2021.</w:t>
      </w:r>
      <w:r w:rsidR="00C21E6A" w:rsidRPr="006D30E6">
        <w:rPr>
          <w:rFonts w:cstheme="minorHAnsi"/>
          <w:sz w:val="24"/>
          <w:szCs w:val="24"/>
          <w:lang w:val="mi-NZ"/>
        </w:rPr>
        <w:t xml:space="preserve"> </w:t>
      </w:r>
    </w:p>
    <w:p w14:paraId="5A777293" w14:textId="77777777" w:rsidR="00C21E6A" w:rsidRPr="006D30E6" w:rsidRDefault="00C21E6A" w:rsidP="00D9076C">
      <w:pPr>
        <w:pStyle w:val="ListParagraph"/>
        <w:ind w:left="567" w:hanging="567"/>
        <w:rPr>
          <w:rFonts w:cstheme="minorHAnsi"/>
          <w:sz w:val="24"/>
          <w:szCs w:val="24"/>
          <w:lang w:val="mi-NZ"/>
        </w:rPr>
      </w:pPr>
    </w:p>
    <w:p w14:paraId="310CFDF5" w14:textId="323F876B" w:rsidR="00C21E6A" w:rsidRPr="006D30E6" w:rsidRDefault="00C21E6A" w:rsidP="00D9076C">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We are satisfied that Ms Hanley is in a position to make a contribution towards costs, being approximately 15% of the total costs incurred by the PCC and the Tribunal.</w:t>
      </w:r>
    </w:p>
    <w:p w14:paraId="3836BFB4" w14:textId="77777777" w:rsidR="00C21E6A" w:rsidRPr="006D30E6" w:rsidRDefault="00C21E6A" w:rsidP="00D9076C">
      <w:pPr>
        <w:pStyle w:val="ListParagraph"/>
        <w:ind w:left="567" w:hanging="567"/>
        <w:rPr>
          <w:rFonts w:cstheme="minorHAnsi"/>
          <w:sz w:val="24"/>
          <w:szCs w:val="24"/>
          <w:lang w:val="mi-NZ"/>
        </w:rPr>
      </w:pPr>
    </w:p>
    <w:p w14:paraId="3BE76C69" w14:textId="6BD1E416" w:rsidR="00C21E6A" w:rsidRPr="006D30E6" w:rsidRDefault="00C21E6A" w:rsidP="00D9076C">
      <w:pPr>
        <w:pStyle w:val="ListParagraph"/>
        <w:ind w:left="567" w:hanging="567"/>
        <w:jc w:val="both"/>
        <w:rPr>
          <w:rFonts w:cstheme="minorHAnsi"/>
          <w:b/>
          <w:bCs/>
          <w:sz w:val="24"/>
          <w:szCs w:val="24"/>
          <w:lang w:val="mi-NZ"/>
        </w:rPr>
      </w:pPr>
      <w:r w:rsidRPr="006D30E6">
        <w:rPr>
          <w:rFonts w:cstheme="minorHAnsi"/>
          <w:b/>
          <w:bCs/>
          <w:sz w:val="24"/>
          <w:szCs w:val="24"/>
          <w:lang w:val="mi-NZ"/>
        </w:rPr>
        <w:t>Suppression</w:t>
      </w:r>
    </w:p>
    <w:p w14:paraId="507EDAAE" w14:textId="77777777" w:rsidR="00C21E6A" w:rsidRPr="006D30E6" w:rsidRDefault="00C21E6A" w:rsidP="00D9076C">
      <w:pPr>
        <w:pStyle w:val="ListParagraph"/>
        <w:ind w:left="567" w:hanging="567"/>
        <w:rPr>
          <w:rFonts w:cstheme="minorHAnsi"/>
          <w:sz w:val="24"/>
          <w:szCs w:val="24"/>
          <w:lang w:val="mi-NZ"/>
        </w:rPr>
      </w:pPr>
    </w:p>
    <w:p w14:paraId="0F447666" w14:textId="6C238F8C" w:rsidR="00C21E6A" w:rsidRPr="006D30E6" w:rsidRDefault="00173296" w:rsidP="00D9076C">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 xml:space="preserve">The Tribunal has the power to make orders for non-publication under s 79 of the Act. The Tribunal is required to have regard to the interests of any person, including the complainant (if relevant) and the public interest, and may make an order if it is satisfied it is desirable to do so. This power extends beyond the social worker and those directly involved in the proceedings. Section 79(2)(d) provides for “an order prohibiting the publication of the name, or any particulars of the affairs, of any person.” </w:t>
      </w:r>
      <w:r w:rsidR="007B7B35" w:rsidRPr="006D30E6">
        <w:rPr>
          <w:rFonts w:cstheme="minorHAnsi"/>
          <w:sz w:val="24"/>
          <w:szCs w:val="24"/>
          <w:lang w:val="mi-NZ"/>
        </w:rPr>
        <w:t>T</w:t>
      </w:r>
      <w:r w:rsidRPr="006D30E6">
        <w:rPr>
          <w:rFonts w:cstheme="minorHAnsi"/>
          <w:sz w:val="24"/>
          <w:szCs w:val="24"/>
          <w:lang w:val="mi-NZ"/>
        </w:rPr>
        <w:t>he</w:t>
      </w:r>
      <w:r w:rsidR="007B7B35" w:rsidRPr="006D30E6">
        <w:rPr>
          <w:rFonts w:cstheme="minorHAnsi"/>
          <w:sz w:val="24"/>
          <w:szCs w:val="24"/>
          <w:lang w:val="mi-NZ"/>
        </w:rPr>
        <w:t>re is a</w:t>
      </w:r>
      <w:r w:rsidRPr="006D30E6">
        <w:rPr>
          <w:rFonts w:cstheme="minorHAnsi"/>
          <w:sz w:val="24"/>
          <w:szCs w:val="24"/>
          <w:lang w:val="mi-NZ"/>
        </w:rPr>
        <w:t xml:space="preserve"> p</w:t>
      </w:r>
      <w:r w:rsidR="00C21E6A" w:rsidRPr="006D30E6">
        <w:rPr>
          <w:rFonts w:cstheme="minorHAnsi"/>
          <w:sz w:val="24"/>
          <w:szCs w:val="24"/>
          <w:lang w:val="mi-NZ"/>
        </w:rPr>
        <w:t>ermanent order suppressing the name of Ms Hanely’s victim</w:t>
      </w:r>
      <w:r w:rsidR="007B7B35" w:rsidRPr="006D30E6">
        <w:rPr>
          <w:rFonts w:cstheme="minorHAnsi"/>
          <w:sz w:val="24"/>
          <w:szCs w:val="24"/>
          <w:lang w:val="mi-NZ"/>
        </w:rPr>
        <w:t>.</w:t>
      </w:r>
    </w:p>
    <w:p w14:paraId="13B4E2E1" w14:textId="77777777" w:rsidR="009F5E79" w:rsidRPr="006D30E6" w:rsidRDefault="009F5E79" w:rsidP="00D9076C">
      <w:pPr>
        <w:pStyle w:val="ListParagraph"/>
        <w:ind w:left="567" w:hanging="567"/>
        <w:jc w:val="both"/>
        <w:rPr>
          <w:rFonts w:cstheme="minorHAnsi"/>
          <w:sz w:val="24"/>
          <w:szCs w:val="24"/>
          <w:lang w:val="mi-NZ"/>
        </w:rPr>
      </w:pPr>
    </w:p>
    <w:p w14:paraId="03741550" w14:textId="585CB837" w:rsidR="00C21E6A" w:rsidRPr="006D30E6" w:rsidRDefault="00C21E6A" w:rsidP="00D9076C">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 xml:space="preserve">Ms Hanley had interim suppression </w:t>
      </w:r>
      <w:r w:rsidR="007B7B35" w:rsidRPr="006D30E6">
        <w:rPr>
          <w:rFonts w:cstheme="minorHAnsi"/>
          <w:sz w:val="24"/>
          <w:szCs w:val="24"/>
          <w:lang w:val="mi-NZ"/>
        </w:rPr>
        <w:t xml:space="preserve">of her name </w:t>
      </w:r>
      <w:r w:rsidRPr="006D30E6">
        <w:rPr>
          <w:rFonts w:cstheme="minorHAnsi"/>
          <w:sz w:val="24"/>
          <w:szCs w:val="24"/>
          <w:lang w:val="mi-NZ"/>
        </w:rPr>
        <w:t>pending the hearing of the charge.</w:t>
      </w:r>
      <w:r w:rsidR="009F5E79" w:rsidRPr="006D30E6">
        <w:rPr>
          <w:rFonts w:cstheme="minorHAnsi"/>
          <w:sz w:val="24"/>
          <w:szCs w:val="24"/>
          <w:lang w:val="mi-NZ"/>
        </w:rPr>
        <w:t xml:space="preserve"> </w:t>
      </w:r>
      <w:r w:rsidRPr="006D30E6">
        <w:rPr>
          <w:rFonts w:cstheme="minorHAnsi"/>
          <w:sz w:val="24"/>
          <w:szCs w:val="24"/>
          <w:lang w:val="mi-NZ"/>
        </w:rPr>
        <w:t>At the conclusion of the hearing the PCC indicated that it opposed</w:t>
      </w:r>
      <w:r w:rsidR="007B7B35" w:rsidRPr="006D30E6">
        <w:rPr>
          <w:rFonts w:cstheme="minorHAnsi"/>
          <w:sz w:val="24"/>
          <w:szCs w:val="24"/>
          <w:lang w:val="mi-NZ"/>
        </w:rPr>
        <w:t xml:space="preserve"> a</w:t>
      </w:r>
      <w:r w:rsidRPr="006D30E6">
        <w:rPr>
          <w:rFonts w:cstheme="minorHAnsi"/>
          <w:sz w:val="24"/>
          <w:szCs w:val="24"/>
          <w:lang w:val="mi-NZ"/>
        </w:rPr>
        <w:t xml:space="preserve"> permanent order</w:t>
      </w:r>
      <w:r w:rsidR="007B7B35" w:rsidRPr="006D30E6">
        <w:rPr>
          <w:rFonts w:cstheme="minorHAnsi"/>
          <w:sz w:val="24"/>
          <w:szCs w:val="24"/>
          <w:lang w:val="mi-NZ"/>
        </w:rPr>
        <w:t xml:space="preserve"> being made</w:t>
      </w:r>
      <w:r w:rsidRPr="006D30E6">
        <w:rPr>
          <w:rFonts w:cstheme="minorHAnsi"/>
          <w:sz w:val="24"/>
          <w:szCs w:val="24"/>
          <w:lang w:val="mi-NZ"/>
        </w:rPr>
        <w:t xml:space="preserve">, noting the absence of any evidence to support this. The Tribunal </w:t>
      </w:r>
      <w:r w:rsidR="009F5E79" w:rsidRPr="006D30E6">
        <w:rPr>
          <w:rFonts w:cstheme="minorHAnsi"/>
          <w:sz w:val="24"/>
          <w:szCs w:val="24"/>
          <w:lang w:val="mi-NZ"/>
        </w:rPr>
        <w:t>indicated</w:t>
      </w:r>
      <w:r w:rsidRPr="006D30E6">
        <w:rPr>
          <w:rFonts w:cstheme="minorHAnsi"/>
          <w:sz w:val="24"/>
          <w:szCs w:val="24"/>
          <w:lang w:val="mi-NZ"/>
        </w:rPr>
        <w:t xml:space="preserve"> that on the evidence </w:t>
      </w:r>
      <w:r w:rsidR="007B7B35" w:rsidRPr="006D30E6">
        <w:rPr>
          <w:rFonts w:cstheme="minorHAnsi"/>
          <w:sz w:val="24"/>
          <w:szCs w:val="24"/>
          <w:lang w:val="mi-NZ"/>
        </w:rPr>
        <w:t>then available</w:t>
      </w:r>
      <w:r w:rsidR="009F5E79" w:rsidRPr="006D30E6">
        <w:rPr>
          <w:rFonts w:cstheme="minorHAnsi"/>
          <w:sz w:val="24"/>
          <w:szCs w:val="24"/>
          <w:lang w:val="mi-NZ"/>
        </w:rPr>
        <w:t xml:space="preserve"> we were</w:t>
      </w:r>
      <w:r w:rsidRPr="006D30E6">
        <w:rPr>
          <w:rFonts w:cstheme="minorHAnsi"/>
          <w:sz w:val="24"/>
          <w:szCs w:val="24"/>
          <w:lang w:val="mi-NZ"/>
        </w:rPr>
        <w:t xml:space="preserve"> not inclined to permanently suppress Ms Hanley’s name and identifying particulars</w:t>
      </w:r>
      <w:r w:rsidR="007B7B35" w:rsidRPr="006D30E6">
        <w:rPr>
          <w:rFonts w:cstheme="minorHAnsi"/>
          <w:sz w:val="24"/>
          <w:szCs w:val="24"/>
          <w:lang w:val="mi-NZ"/>
        </w:rPr>
        <w:t>. H</w:t>
      </w:r>
      <w:r w:rsidRPr="006D30E6">
        <w:rPr>
          <w:rFonts w:cstheme="minorHAnsi"/>
          <w:sz w:val="24"/>
          <w:szCs w:val="24"/>
          <w:lang w:val="mi-NZ"/>
        </w:rPr>
        <w:t xml:space="preserve">owever we allowed Ms Hanley 7 days to </w:t>
      </w:r>
      <w:r w:rsidR="007B7B35" w:rsidRPr="006D30E6">
        <w:rPr>
          <w:rFonts w:cstheme="minorHAnsi"/>
          <w:sz w:val="24"/>
          <w:szCs w:val="24"/>
          <w:lang w:val="mi-NZ"/>
        </w:rPr>
        <w:t>lodge</w:t>
      </w:r>
      <w:r w:rsidRPr="006D30E6">
        <w:rPr>
          <w:rFonts w:cstheme="minorHAnsi"/>
          <w:sz w:val="24"/>
          <w:szCs w:val="24"/>
          <w:lang w:val="mi-NZ"/>
        </w:rPr>
        <w:t xml:space="preserve"> </w:t>
      </w:r>
      <w:r w:rsidR="009F5E79" w:rsidRPr="006D30E6">
        <w:rPr>
          <w:rFonts w:cstheme="minorHAnsi"/>
          <w:sz w:val="24"/>
          <w:szCs w:val="24"/>
          <w:lang w:val="mi-NZ"/>
        </w:rPr>
        <w:t>any application for</w:t>
      </w:r>
      <w:r w:rsidRPr="006D30E6">
        <w:rPr>
          <w:rFonts w:cstheme="minorHAnsi"/>
          <w:sz w:val="24"/>
          <w:szCs w:val="24"/>
          <w:lang w:val="mi-NZ"/>
        </w:rPr>
        <w:t xml:space="preserve"> permanent suppression </w:t>
      </w:r>
      <w:r w:rsidR="009F5E79" w:rsidRPr="006D30E6">
        <w:rPr>
          <w:rFonts w:cstheme="minorHAnsi"/>
          <w:sz w:val="24"/>
          <w:szCs w:val="24"/>
          <w:lang w:val="mi-NZ"/>
        </w:rPr>
        <w:t xml:space="preserve">and </w:t>
      </w:r>
      <w:r w:rsidRPr="006D30E6">
        <w:rPr>
          <w:rFonts w:cstheme="minorHAnsi"/>
          <w:sz w:val="24"/>
          <w:szCs w:val="24"/>
          <w:lang w:val="mi-NZ"/>
        </w:rPr>
        <w:t xml:space="preserve">to provide affidavit evidence if </w:t>
      </w:r>
      <w:r w:rsidR="007B7B35" w:rsidRPr="006D30E6">
        <w:rPr>
          <w:rFonts w:cstheme="minorHAnsi"/>
          <w:sz w:val="24"/>
          <w:szCs w:val="24"/>
          <w:lang w:val="mi-NZ"/>
        </w:rPr>
        <w:t xml:space="preserve">such </w:t>
      </w:r>
      <w:r w:rsidRPr="006D30E6">
        <w:rPr>
          <w:rFonts w:cstheme="minorHAnsi"/>
          <w:sz w:val="24"/>
          <w:szCs w:val="24"/>
          <w:lang w:val="mi-NZ"/>
        </w:rPr>
        <w:t xml:space="preserve">an order was sought. </w:t>
      </w:r>
      <w:r w:rsidR="009F5E79" w:rsidRPr="006D30E6">
        <w:rPr>
          <w:rFonts w:cstheme="minorHAnsi"/>
          <w:sz w:val="24"/>
          <w:szCs w:val="24"/>
          <w:lang w:val="mi-NZ"/>
        </w:rPr>
        <w:t xml:space="preserve"> </w:t>
      </w:r>
      <w:r w:rsidRPr="006D30E6">
        <w:rPr>
          <w:rFonts w:cstheme="minorHAnsi"/>
          <w:sz w:val="24"/>
          <w:szCs w:val="24"/>
          <w:lang w:val="mi-NZ"/>
        </w:rPr>
        <w:t>Ms Hanley</w:t>
      </w:r>
      <w:r w:rsidR="00C719C6" w:rsidRPr="006D30E6">
        <w:rPr>
          <w:rFonts w:cstheme="minorHAnsi"/>
          <w:sz w:val="24"/>
          <w:szCs w:val="24"/>
          <w:lang w:val="mi-NZ"/>
        </w:rPr>
        <w:t xml:space="preserve"> advised on 23 November that she was not seeking an order.</w:t>
      </w:r>
    </w:p>
    <w:p w14:paraId="619B10FE" w14:textId="77777777" w:rsidR="001C679A" w:rsidRPr="006D30E6" w:rsidRDefault="001C679A" w:rsidP="00D9076C">
      <w:pPr>
        <w:pStyle w:val="ListParagraph"/>
        <w:ind w:left="567" w:hanging="567"/>
        <w:rPr>
          <w:rFonts w:cstheme="minorHAnsi"/>
          <w:sz w:val="24"/>
          <w:szCs w:val="24"/>
          <w:lang w:val="mi-NZ"/>
        </w:rPr>
      </w:pPr>
    </w:p>
    <w:p w14:paraId="50517FA7" w14:textId="741B083F" w:rsidR="001C679A" w:rsidRPr="006D30E6" w:rsidRDefault="001C679A" w:rsidP="00D9076C">
      <w:pPr>
        <w:pStyle w:val="ListParagraph"/>
        <w:ind w:left="567" w:hanging="567"/>
        <w:jc w:val="both"/>
        <w:rPr>
          <w:rFonts w:cstheme="minorHAnsi"/>
          <w:b/>
          <w:bCs/>
          <w:sz w:val="24"/>
          <w:szCs w:val="24"/>
          <w:lang w:val="mi-NZ"/>
        </w:rPr>
      </w:pPr>
      <w:r w:rsidRPr="006D30E6">
        <w:rPr>
          <w:rFonts w:cstheme="minorHAnsi"/>
          <w:b/>
          <w:bCs/>
          <w:sz w:val="24"/>
          <w:szCs w:val="24"/>
          <w:lang w:val="mi-NZ"/>
        </w:rPr>
        <w:t>Orders</w:t>
      </w:r>
    </w:p>
    <w:p w14:paraId="470679AC" w14:textId="77777777" w:rsidR="00BF2084" w:rsidRPr="006D30E6" w:rsidRDefault="00BF2084" w:rsidP="00D9076C">
      <w:pPr>
        <w:pStyle w:val="ListParagraph"/>
        <w:ind w:left="567" w:hanging="567"/>
        <w:jc w:val="both"/>
        <w:rPr>
          <w:rFonts w:cstheme="minorHAnsi"/>
          <w:sz w:val="24"/>
          <w:szCs w:val="24"/>
          <w:lang w:val="mi-NZ"/>
        </w:rPr>
      </w:pPr>
    </w:p>
    <w:p w14:paraId="38822108" w14:textId="0F472331" w:rsidR="001C679A" w:rsidRPr="006D30E6" w:rsidRDefault="001C679A" w:rsidP="00D9076C">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The Tribunal makes orders as follows:</w:t>
      </w:r>
    </w:p>
    <w:p w14:paraId="371DC457" w14:textId="77777777" w:rsidR="001C679A" w:rsidRPr="006D30E6" w:rsidRDefault="001C679A" w:rsidP="00D9076C">
      <w:pPr>
        <w:pStyle w:val="ListParagraph"/>
        <w:ind w:left="567" w:hanging="567"/>
        <w:jc w:val="both"/>
        <w:rPr>
          <w:rFonts w:cstheme="minorHAnsi"/>
          <w:sz w:val="24"/>
          <w:szCs w:val="24"/>
          <w:lang w:val="mi-NZ"/>
        </w:rPr>
      </w:pPr>
    </w:p>
    <w:p w14:paraId="6535D556" w14:textId="56DACE39" w:rsidR="00BF2084" w:rsidRPr="006D30E6" w:rsidRDefault="001C679A"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Ms Hanley is censured;</w:t>
      </w:r>
    </w:p>
    <w:p w14:paraId="2326482F" w14:textId="77777777" w:rsidR="001C679A" w:rsidRPr="006D30E6" w:rsidRDefault="001C679A" w:rsidP="00D9076C">
      <w:pPr>
        <w:pStyle w:val="ListParagraph"/>
        <w:ind w:left="1701" w:hanging="567"/>
        <w:jc w:val="both"/>
        <w:rPr>
          <w:rFonts w:cstheme="minorHAnsi"/>
          <w:sz w:val="24"/>
          <w:szCs w:val="24"/>
          <w:lang w:val="mi-NZ"/>
        </w:rPr>
      </w:pPr>
    </w:p>
    <w:p w14:paraId="6DB86A81" w14:textId="0B0A6F64" w:rsidR="001C679A" w:rsidRPr="006D30E6" w:rsidRDefault="00653AED"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Conditions:</w:t>
      </w:r>
    </w:p>
    <w:p w14:paraId="41555F21" w14:textId="77777777" w:rsidR="00653AED" w:rsidRPr="006D30E6" w:rsidRDefault="00653AED" w:rsidP="00653AED">
      <w:pPr>
        <w:pStyle w:val="ListParagraph"/>
        <w:rPr>
          <w:rFonts w:cstheme="minorHAnsi"/>
          <w:sz w:val="24"/>
          <w:szCs w:val="24"/>
          <w:lang w:val="mi-NZ"/>
        </w:rPr>
      </w:pPr>
    </w:p>
    <w:p w14:paraId="2A600966" w14:textId="0ACC1909" w:rsidR="00653AED" w:rsidRPr="006D30E6" w:rsidRDefault="00653AED" w:rsidP="00D9076C">
      <w:pPr>
        <w:pStyle w:val="ListParagraph"/>
        <w:numPr>
          <w:ilvl w:val="2"/>
          <w:numId w:val="1"/>
        </w:numPr>
        <w:ind w:left="2268" w:hanging="425"/>
        <w:jc w:val="both"/>
        <w:rPr>
          <w:rFonts w:cstheme="minorHAnsi"/>
          <w:sz w:val="24"/>
          <w:szCs w:val="24"/>
          <w:lang w:val="mi-NZ"/>
        </w:rPr>
      </w:pPr>
      <w:r w:rsidRPr="006D30E6">
        <w:rPr>
          <w:rFonts w:cstheme="minorHAnsi"/>
          <w:sz w:val="24"/>
          <w:szCs w:val="24"/>
          <w:lang w:val="mi-NZ"/>
        </w:rPr>
        <w:t xml:space="preserve">That Ms Hanley notify any employer </w:t>
      </w:r>
      <w:r w:rsidR="009F5E79" w:rsidRPr="006D30E6">
        <w:rPr>
          <w:rFonts w:cstheme="minorHAnsi"/>
          <w:sz w:val="24"/>
          <w:szCs w:val="24"/>
          <w:lang w:val="mi-NZ"/>
        </w:rPr>
        <w:t>or prospective employer with whom she is to be employed as</w:t>
      </w:r>
      <w:r w:rsidRPr="006D30E6">
        <w:rPr>
          <w:rFonts w:cstheme="minorHAnsi"/>
          <w:sz w:val="24"/>
          <w:szCs w:val="24"/>
          <w:lang w:val="mi-NZ"/>
        </w:rPr>
        <w:t xml:space="preserve"> a social worker of the outcome of these disciplinary proceedings;</w:t>
      </w:r>
    </w:p>
    <w:p w14:paraId="3E35BEF6" w14:textId="77777777" w:rsidR="009D137F" w:rsidRPr="006D30E6" w:rsidRDefault="009D137F" w:rsidP="00D9076C">
      <w:pPr>
        <w:pStyle w:val="ListParagraph"/>
        <w:ind w:left="2268" w:hanging="425"/>
        <w:jc w:val="both"/>
        <w:rPr>
          <w:rFonts w:cstheme="minorHAnsi"/>
          <w:sz w:val="24"/>
          <w:szCs w:val="24"/>
          <w:lang w:val="mi-NZ"/>
        </w:rPr>
      </w:pPr>
    </w:p>
    <w:p w14:paraId="5889E3B7" w14:textId="3CF1C304" w:rsidR="004005CE" w:rsidRPr="006D30E6" w:rsidRDefault="00653AED" w:rsidP="004005CE">
      <w:pPr>
        <w:pStyle w:val="ListParagraph"/>
        <w:numPr>
          <w:ilvl w:val="2"/>
          <w:numId w:val="1"/>
        </w:numPr>
        <w:ind w:left="2268" w:hanging="425"/>
        <w:jc w:val="both"/>
        <w:rPr>
          <w:rFonts w:cstheme="minorHAnsi"/>
          <w:sz w:val="24"/>
          <w:szCs w:val="24"/>
          <w:lang w:val="mi-NZ"/>
        </w:rPr>
      </w:pPr>
      <w:r w:rsidRPr="004005CE">
        <w:rPr>
          <w:rFonts w:cstheme="minorHAnsi"/>
          <w:sz w:val="24"/>
          <w:szCs w:val="24"/>
          <w:lang w:val="mi-NZ"/>
        </w:rPr>
        <w:t xml:space="preserve">That Ms Hanley undertake a period of professional supervision for a period of two years commencing when she returns to a social work role. Supervision is to include </w:t>
      </w:r>
      <w:r w:rsidR="000C7B85" w:rsidRPr="004005CE">
        <w:rPr>
          <w:rFonts w:cstheme="minorHAnsi"/>
          <w:sz w:val="24"/>
          <w:szCs w:val="24"/>
          <w:lang w:val="mi-NZ"/>
        </w:rPr>
        <w:t>regular reflection regarding</w:t>
      </w:r>
      <w:r w:rsidRPr="004005CE">
        <w:rPr>
          <w:rFonts w:cstheme="minorHAnsi"/>
          <w:sz w:val="24"/>
          <w:szCs w:val="24"/>
          <w:lang w:val="mi-NZ"/>
        </w:rPr>
        <w:t xml:space="preserve"> the maintenance of professional boundaries,</w:t>
      </w:r>
      <w:r w:rsidR="000C7B85" w:rsidRPr="004005CE">
        <w:rPr>
          <w:rFonts w:cstheme="minorHAnsi"/>
          <w:sz w:val="24"/>
          <w:szCs w:val="24"/>
          <w:lang w:val="mi-NZ"/>
        </w:rPr>
        <w:t xml:space="preserve"> management of occupational stress and thriving at work, and</w:t>
      </w:r>
      <w:r w:rsidRPr="004005CE">
        <w:rPr>
          <w:rFonts w:cstheme="minorHAnsi"/>
          <w:sz w:val="24"/>
          <w:szCs w:val="24"/>
          <w:lang w:val="mi-NZ"/>
        </w:rPr>
        <w:t xml:space="preserve"> the Code of Conduct to ensure that Ms Hanley maintains the positive </w:t>
      </w:r>
      <w:r w:rsidR="000C7B85" w:rsidRPr="004005CE">
        <w:rPr>
          <w:rFonts w:cstheme="minorHAnsi"/>
          <w:sz w:val="24"/>
          <w:szCs w:val="24"/>
          <w:lang w:val="mi-NZ"/>
        </w:rPr>
        <w:t xml:space="preserve">personal </w:t>
      </w:r>
      <w:r w:rsidRPr="004005CE">
        <w:rPr>
          <w:rFonts w:cstheme="minorHAnsi"/>
          <w:sz w:val="24"/>
          <w:szCs w:val="24"/>
          <w:lang w:val="mi-NZ"/>
        </w:rPr>
        <w:t>changes that she has made</w:t>
      </w:r>
      <w:r w:rsidR="00D9076C" w:rsidRPr="004005CE">
        <w:rPr>
          <w:rFonts w:cstheme="minorHAnsi"/>
          <w:sz w:val="24"/>
          <w:szCs w:val="24"/>
          <w:lang w:val="mi-NZ"/>
        </w:rPr>
        <w:t>.</w:t>
      </w:r>
      <w:r w:rsidR="004005CE" w:rsidRPr="004005CE">
        <w:rPr>
          <w:rFonts w:cstheme="minorHAnsi"/>
          <w:sz w:val="24"/>
          <w:szCs w:val="24"/>
          <w:lang w:val="mi-NZ"/>
        </w:rPr>
        <w:t xml:space="preserve"> </w:t>
      </w:r>
    </w:p>
    <w:p w14:paraId="32536109" w14:textId="015FF014" w:rsidR="004005CE" w:rsidRPr="004005CE" w:rsidRDefault="004005CE" w:rsidP="004005CE">
      <w:pPr>
        <w:pStyle w:val="ListParagraph"/>
        <w:ind w:left="2268"/>
        <w:jc w:val="both"/>
        <w:rPr>
          <w:rFonts w:cstheme="minorHAnsi"/>
          <w:sz w:val="24"/>
          <w:szCs w:val="24"/>
          <w:lang w:val="mi-NZ"/>
        </w:rPr>
      </w:pPr>
    </w:p>
    <w:p w14:paraId="58DD6C68" w14:textId="020B327C" w:rsidR="009D137F" w:rsidRPr="006D30E6" w:rsidRDefault="009D137F"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Ms Hanley is to pay costs in the sum of $</w:t>
      </w:r>
      <w:r w:rsidR="00C21E6A" w:rsidRPr="006D30E6">
        <w:rPr>
          <w:rFonts w:cstheme="minorHAnsi"/>
          <w:sz w:val="24"/>
          <w:szCs w:val="24"/>
          <w:lang w:val="mi-NZ"/>
        </w:rPr>
        <w:t>2,500</w:t>
      </w:r>
      <w:r w:rsidR="002D6C0D" w:rsidRPr="006D30E6">
        <w:rPr>
          <w:rFonts w:cstheme="minorHAnsi"/>
          <w:sz w:val="24"/>
          <w:szCs w:val="24"/>
          <w:lang w:val="mi-NZ"/>
        </w:rPr>
        <w:t>.</w:t>
      </w:r>
    </w:p>
    <w:p w14:paraId="7D86B57F" w14:textId="77777777" w:rsidR="007B7B35" w:rsidRPr="006D30E6" w:rsidRDefault="007B7B35" w:rsidP="00D9076C">
      <w:pPr>
        <w:pStyle w:val="ListParagraph"/>
        <w:ind w:left="1701" w:hanging="567"/>
        <w:jc w:val="both"/>
        <w:rPr>
          <w:rFonts w:cstheme="minorHAnsi"/>
          <w:sz w:val="24"/>
          <w:szCs w:val="24"/>
          <w:lang w:val="mi-NZ"/>
        </w:rPr>
      </w:pPr>
    </w:p>
    <w:p w14:paraId="35ABA98A" w14:textId="2F3D012E" w:rsidR="007B7B35" w:rsidRPr="006D30E6" w:rsidRDefault="007B7B35" w:rsidP="00D9076C">
      <w:pPr>
        <w:pStyle w:val="ListParagraph"/>
        <w:numPr>
          <w:ilvl w:val="1"/>
          <w:numId w:val="1"/>
        </w:numPr>
        <w:ind w:left="1701" w:hanging="567"/>
        <w:jc w:val="both"/>
        <w:rPr>
          <w:rFonts w:cstheme="minorHAnsi"/>
          <w:sz w:val="24"/>
          <w:szCs w:val="24"/>
          <w:lang w:val="mi-NZ"/>
        </w:rPr>
      </w:pPr>
      <w:r w:rsidRPr="006D30E6">
        <w:rPr>
          <w:rFonts w:cstheme="minorHAnsi"/>
          <w:sz w:val="24"/>
          <w:szCs w:val="24"/>
          <w:lang w:val="mi-NZ"/>
        </w:rPr>
        <w:t>The name of the victim of Ms Hanley’s offending is not to be published in relation with these proceedings.</w:t>
      </w:r>
    </w:p>
    <w:p w14:paraId="75890C3F" w14:textId="77777777" w:rsidR="009D137F" w:rsidRPr="006D30E6" w:rsidRDefault="009D137F" w:rsidP="009D137F">
      <w:pPr>
        <w:pStyle w:val="ListParagraph"/>
        <w:rPr>
          <w:rFonts w:cstheme="minorHAnsi"/>
          <w:sz w:val="24"/>
          <w:szCs w:val="24"/>
          <w:lang w:val="mi-NZ"/>
        </w:rPr>
      </w:pPr>
    </w:p>
    <w:p w14:paraId="1EBFDB0A" w14:textId="00A6CDEA" w:rsidR="00BF2084" w:rsidRPr="006D30E6" w:rsidRDefault="00BF696A" w:rsidP="00D9076C">
      <w:pPr>
        <w:pStyle w:val="ListParagraph"/>
        <w:numPr>
          <w:ilvl w:val="0"/>
          <w:numId w:val="1"/>
        </w:numPr>
        <w:ind w:left="567" w:hanging="567"/>
        <w:jc w:val="both"/>
        <w:rPr>
          <w:rFonts w:cstheme="minorHAnsi"/>
          <w:sz w:val="24"/>
          <w:szCs w:val="24"/>
          <w:lang w:val="mi-NZ"/>
        </w:rPr>
      </w:pPr>
      <w:r w:rsidRPr="006D30E6">
        <w:rPr>
          <w:rFonts w:cstheme="minorHAnsi"/>
          <w:sz w:val="24"/>
          <w:szCs w:val="24"/>
          <w:lang w:val="mi-NZ"/>
        </w:rPr>
        <w:t>The Tribunal directs the Hearing Officer to request the Board Registrar to publish this decision on the Board’s website and to publish a summary of the Tribunal’s decision in its professional publication to members of the social work profession.</w:t>
      </w:r>
    </w:p>
    <w:p w14:paraId="0BDAC5A2" w14:textId="77777777" w:rsidR="00BF2084" w:rsidRDefault="00BF2084" w:rsidP="00B91164">
      <w:pPr>
        <w:pStyle w:val="ListParagraph"/>
        <w:jc w:val="both"/>
        <w:rPr>
          <w:rFonts w:cstheme="minorHAnsi"/>
          <w:sz w:val="24"/>
          <w:szCs w:val="24"/>
          <w:lang w:val="mi-NZ"/>
        </w:rPr>
      </w:pPr>
    </w:p>
    <w:p w14:paraId="4134F829" w14:textId="77777777" w:rsidR="004005CE" w:rsidRPr="006D30E6" w:rsidRDefault="004005CE" w:rsidP="00B91164">
      <w:pPr>
        <w:pStyle w:val="ListParagraph"/>
        <w:jc w:val="both"/>
        <w:rPr>
          <w:rFonts w:cstheme="minorHAnsi"/>
          <w:sz w:val="24"/>
          <w:szCs w:val="24"/>
          <w:lang w:val="mi-NZ"/>
        </w:rPr>
      </w:pPr>
    </w:p>
    <w:p w14:paraId="132BA161" w14:textId="29A32F71" w:rsidR="00BF2084" w:rsidRDefault="004005CE" w:rsidP="00B91164">
      <w:pPr>
        <w:jc w:val="both"/>
        <w:rPr>
          <w:rFonts w:cstheme="minorHAnsi"/>
          <w:sz w:val="24"/>
          <w:szCs w:val="24"/>
          <w:lang w:val="mi-NZ"/>
        </w:rPr>
      </w:pPr>
      <w:r>
        <w:rPr>
          <w:rFonts w:cstheme="minorHAnsi"/>
          <w:sz w:val="24"/>
          <w:szCs w:val="24"/>
          <w:lang w:val="mi-NZ"/>
        </w:rPr>
        <w:t>Dated at</w:t>
      </w:r>
      <w:r w:rsidRPr="004005CE">
        <w:rPr>
          <w:rFonts w:cstheme="minorHAnsi"/>
          <w:sz w:val="24"/>
          <w:szCs w:val="24"/>
          <w:lang w:val="mi-NZ"/>
        </w:rPr>
        <w:t xml:space="preserve"> AUCKLAND</w:t>
      </w:r>
      <w:r>
        <w:rPr>
          <w:rFonts w:cstheme="minorHAnsi"/>
          <w:sz w:val="24"/>
          <w:szCs w:val="24"/>
          <w:lang w:val="mi-NZ"/>
        </w:rPr>
        <w:t xml:space="preserve"> this 2nd day of December 2020</w:t>
      </w:r>
    </w:p>
    <w:p w14:paraId="282116E3" w14:textId="77777777" w:rsidR="004005CE" w:rsidRPr="006D30E6" w:rsidRDefault="004005CE" w:rsidP="00B91164">
      <w:pPr>
        <w:jc w:val="both"/>
        <w:rPr>
          <w:rFonts w:cstheme="minorHAnsi"/>
          <w:sz w:val="24"/>
          <w:szCs w:val="24"/>
          <w:lang w:val="mi-NZ"/>
        </w:rPr>
      </w:pPr>
    </w:p>
    <w:p w14:paraId="5F3C81E5" w14:textId="02A0128C" w:rsidR="00BF2084" w:rsidRPr="006D30E6" w:rsidRDefault="005735BE" w:rsidP="00B91164">
      <w:pPr>
        <w:jc w:val="both"/>
        <w:rPr>
          <w:rFonts w:cstheme="minorHAnsi"/>
          <w:sz w:val="24"/>
          <w:szCs w:val="24"/>
          <w:lang w:val="mi-NZ"/>
        </w:rPr>
      </w:pPr>
      <w:r w:rsidRPr="006D30E6">
        <w:rPr>
          <w:rFonts w:cstheme="minorHAnsi"/>
          <w:sz w:val="24"/>
          <w:szCs w:val="24"/>
          <w:lang w:val="mi-NZ"/>
        </w:rPr>
        <w:t xml:space="preserve"> </w:t>
      </w:r>
      <w:r w:rsidRPr="006D30E6">
        <w:rPr>
          <w:rFonts w:cstheme="minorHAnsi"/>
          <w:noProof/>
          <w:sz w:val="24"/>
          <w:szCs w:val="24"/>
          <w:lang w:eastAsia="en-NZ"/>
        </w:rPr>
        <w:drawing>
          <wp:inline distT="0" distB="0" distL="0" distR="0" wp14:anchorId="3C965DBC" wp14:editId="5019B97B">
            <wp:extent cx="1390650" cy="984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984250"/>
                    </a:xfrm>
                    <a:prstGeom prst="rect">
                      <a:avLst/>
                    </a:prstGeom>
                    <a:noFill/>
                    <a:ln>
                      <a:noFill/>
                    </a:ln>
                  </pic:spPr>
                </pic:pic>
              </a:graphicData>
            </a:graphic>
          </wp:inline>
        </w:drawing>
      </w:r>
    </w:p>
    <w:p w14:paraId="30CC341C" w14:textId="77777777" w:rsidR="00A72BE2" w:rsidRPr="006D30E6" w:rsidRDefault="00A72BE2" w:rsidP="00A72BE2">
      <w:pPr>
        <w:tabs>
          <w:tab w:val="left" w:pos="283"/>
          <w:tab w:val="left" w:pos="850"/>
          <w:tab w:val="left" w:pos="3662"/>
          <w:tab w:val="left" w:pos="6213"/>
        </w:tabs>
        <w:spacing w:after="0" w:line="240" w:lineRule="auto"/>
        <w:contextualSpacing/>
        <w:jc w:val="both"/>
        <w:rPr>
          <w:rFonts w:cstheme="minorHAnsi"/>
          <w:b/>
          <w:bCs/>
          <w:color w:val="808080"/>
          <w:sz w:val="24"/>
          <w:szCs w:val="24"/>
          <w:lang w:eastAsia="en-NZ"/>
        </w:rPr>
      </w:pPr>
      <w:r w:rsidRPr="006D30E6">
        <w:rPr>
          <w:rFonts w:cstheme="minorHAnsi"/>
          <w:b/>
          <w:bCs/>
          <w:color w:val="808080"/>
          <w:sz w:val="24"/>
          <w:szCs w:val="24"/>
          <w:lang w:eastAsia="en-NZ"/>
        </w:rPr>
        <w:t>Catherine Garvey</w:t>
      </w:r>
    </w:p>
    <w:p w14:paraId="391ABD1B" w14:textId="1877BBB6" w:rsidR="0078200D" w:rsidRPr="006D30E6" w:rsidRDefault="00A72BE2" w:rsidP="004005CE">
      <w:pPr>
        <w:spacing w:after="0" w:line="240" w:lineRule="auto"/>
        <w:contextualSpacing/>
        <w:jc w:val="both"/>
        <w:rPr>
          <w:rFonts w:cstheme="minorHAnsi"/>
          <w:sz w:val="24"/>
          <w:szCs w:val="24"/>
        </w:rPr>
      </w:pPr>
      <w:r w:rsidRPr="006D30E6">
        <w:rPr>
          <w:rFonts w:cstheme="minorHAnsi"/>
          <w:b/>
          <w:bCs/>
          <w:color w:val="8496B0" w:themeColor="text2" w:themeTint="99"/>
          <w:sz w:val="24"/>
          <w:szCs w:val="24"/>
          <w:lang w:eastAsia="en-NZ"/>
        </w:rPr>
        <w:t>Chairperson|</w:t>
      </w:r>
      <w:r w:rsidRPr="006D30E6">
        <w:rPr>
          <w:rFonts w:cstheme="minorHAnsi"/>
          <w:color w:val="8496B0" w:themeColor="text2" w:themeTint="99"/>
          <w:sz w:val="24"/>
          <w:szCs w:val="24"/>
          <w:lang w:eastAsia="en-NZ"/>
        </w:rPr>
        <w:t xml:space="preserve"> </w:t>
      </w:r>
      <w:r w:rsidRPr="006D30E6">
        <w:rPr>
          <w:rFonts w:cstheme="minorHAnsi"/>
          <w:color w:val="808080" w:themeColor="background1" w:themeShade="80"/>
          <w:sz w:val="24"/>
          <w:szCs w:val="24"/>
          <w:lang w:eastAsia="en-NZ"/>
        </w:rPr>
        <w:t>Social Workers Complaints and Disciplinary Tribunal</w:t>
      </w:r>
    </w:p>
    <w:sectPr w:rsidR="0078200D" w:rsidRPr="006D30E6" w:rsidSect="00D9076C">
      <w:headerReference w:type="default" r:id="rId11"/>
      <w:footerReference w:type="default" r:id="rId12"/>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B13C9" w14:textId="77777777" w:rsidR="000B3ADF" w:rsidRDefault="000B3ADF" w:rsidP="002047A6">
      <w:pPr>
        <w:spacing w:after="0" w:line="240" w:lineRule="auto"/>
      </w:pPr>
      <w:r>
        <w:separator/>
      </w:r>
    </w:p>
  </w:endnote>
  <w:endnote w:type="continuationSeparator" w:id="0">
    <w:p w14:paraId="4C55D846" w14:textId="77777777" w:rsidR="000B3ADF" w:rsidRDefault="000B3ADF" w:rsidP="0020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BF36" w14:textId="39DE2B48" w:rsidR="00980624" w:rsidRPr="00D71242" w:rsidRDefault="00980624" w:rsidP="00980624">
    <w:pPr>
      <w:pStyle w:val="Footer"/>
      <w:tabs>
        <w:tab w:val="left" w:pos="3969"/>
      </w:tabs>
      <w:rPr>
        <w:rFonts w:ascii="Calibri" w:hAnsi="Calibri" w:cs="Calibri"/>
        <w:color w:val="0070C0"/>
      </w:rPr>
    </w:pPr>
    <w:r w:rsidRPr="00D71242">
      <w:rPr>
        <w:rFonts w:ascii="Calibri" w:hAnsi="Calibri" w:cs="Calibri"/>
        <w:color w:val="0070C0"/>
      </w:rPr>
      <w:t>Level 24 AON Building</w:t>
    </w:r>
    <w:r>
      <w:rPr>
        <w:rFonts w:ascii="Calibri" w:hAnsi="Calibri" w:cs="Calibri"/>
        <w:color w:val="0070C0"/>
      </w:rPr>
      <w:tab/>
      <w:t>PO Box 10509</w:t>
    </w:r>
  </w:p>
  <w:p w14:paraId="58276F48" w14:textId="77777777" w:rsidR="00980624" w:rsidRPr="00D71242" w:rsidRDefault="00980624" w:rsidP="00980624">
    <w:pPr>
      <w:pStyle w:val="Footer"/>
      <w:tabs>
        <w:tab w:val="left" w:pos="3969"/>
        <w:tab w:val="center" w:pos="6804"/>
      </w:tabs>
      <w:rPr>
        <w:rFonts w:ascii="Calibri" w:hAnsi="Calibri" w:cs="Calibri"/>
        <w:color w:val="0070C0"/>
      </w:rPr>
    </w:pPr>
    <w:r w:rsidRPr="00D71242">
      <w:rPr>
        <w:rFonts w:ascii="Calibri" w:hAnsi="Calibri" w:cs="Calibri"/>
        <w:color w:val="0070C0"/>
      </w:rPr>
      <w:t>1 Willis Street</w:t>
    </w:r>
    <w:r>
      <w:rPr>
        <w:rFonts w:ascii="Calibri" w:hAnsi="Calibri" w:cs="Calibri"/>
        <w:color w:val="0070C0"/>
      </w:rPr>
      <w:tab/>
      <w:t>Wellington</w:t>
    </w:r>
  </w:p>
  <w:p w14:paraId="7BE4EFE0" w14:textId="77777777" w:rsidR="00980624" w:rsidRPr="00D71242" w:rsidRDefault="00980624" w:rsidP="00980624">
    <w:pPr>
      <w:pStyle w:val="Footer"/>
      <w:rPr>
        <w:rFonts w:ascii="Calibri" w:hAnsi="Calibri" w:cs="Calibri"/>
        <w:color w:val="0070C0"/>
      </w:rPr>
    </w:pPr>
    <w:r w:rsidRPr="00D71242">
      <w:rPr>
        <w:rFonts w:ascii="Calibri" w:hAnsi="Calibri" w:cs="Calibri"/>
        <w:color w:val="0070C0"/>
      </w:rPr>
      <w:t>Wellington 6011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563476"/>
      <w:docPartObj>
        <w:docPartGallery w:val="Page Numbers (Bottom of Page)"/>
        <w:docPartUnique/>
      </w:docPartObj>
    </w:sdtPr>
    <w:sdtEndPr>
      <w:rPr>
        <w:noProof/>
      </w:rPr>
    </w:sdtEndPr>
    <w:sdtContent>
      <w:p w14:paraId="013025B3" w14:textId="6BF97BF9" w:rsidR="004005CE" w:rsidRDefault="004005CE">
        <w:pPr>
          <w:pStyle w:val="Footer"/>
          <w:jc w:val="center"/>
        </w:pPr>
        <w:r>
          <w:fldChar w:fldCharType="begin"/>
        </w:r>
        <w:r>
          <w:instrText xml:space="preserve"> PAGE   \* MERGEFORMAT </w:instrText>
        </w:r>
        <w:r>
          <w:fldChar w:fldCharType="separate"/>
        </w:r>
        <w:r w:rsidR="006A730F">
          <w:rPr>
            <w:noProof/>
          </w:rPr>
          <w:t>8</w:t>
        </w:r>
        <w:r>
          <w:rPr>
            <w:noProof/>
          </w:rPr>
          <w:fldChar w:fldCharType="end"/>
        </w:r>
      </w:p>
    </w:sdtContent>
  </w:sdt>
  <w:p w14:paraId="417A1D81" w14:textId="04CAC0EC" w:rsidR="00980624" w:rsidRPr="00980624" w:rsidRDefault="00980624" w:rsidP="00980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2ECC9" w14:textId="77777777" w:rsidR="000B3ADF" w:rsidRDefault="000B3ADF" w:rsidP="002047A6">
      <w:pPr>
        <w:spacing w:after="0" w:line="240" w:lineRule="auto"/>
      </w:pPr>
      <w:r>
        <w:separator/>
      </w:r>
    </w:p>
  </w:footnote>
  <w:footnote w:type="continuationSeparator" w:id="0">
    <w:p w14:paraId="7D716381" w14:textId="77777777" w:rsidR="000B3ADF" w:rsidRDefault="000B3ADF" w:rsidP="002047A6">
      <w:pPr>
        <w:spacing w:after="0" w:line="240" w:lineRule="auto"/>
      </w:pPr>
      <w:r>
        <w:continuationSeparator/>
      </w:r>
    </w:p>
  </w:footnote>
  <w:footnote w:id="1">
    <w:p w14:paraId="187228D2" w14:textId="571C8C31" w:rsidR="00C21E6A" w:rsidRPr="00B17D9C" w:rsidRDefault="00C21E6A">
      <w:pPr>
        <w:pStyle w:val="FootnoteText"/>
        <w:rPr>
          <w:lang w:val="mi-NZ"/>
        </w:rPr>
      </w:pPr>
      <w:r>
        <w:rPr>
          <w:rStyle w:val="FootnoteReference"/>
        </w:rPr>
        <w:footnoteRef/>
      </w:r>
      <w:r>
        <w:t xml:space="preserve"> </w:t>
      </w:r>
      <w:r>
        <w:rPr>
          <w:lang w:val="mi-NZ"/>
        </w:rPr>
        <w:t>Z v Dental Complaints Assessment Committee [2008] NZSC 55, [2009] 1 NZLR 1</w:t>
      </w:r>
    </w:p>
  </w:footnote>
  <w:footnote w:id="2">
    <w:p w14:paraId="63341CC6" w14:textId="5D809B48" w:rsidR="005F4FC1" w:rsidRDefault="005F4FC1">
      <w:pPr>
        <w:pStyle w:val="FootnoteText"/>
      </w:pPr>
      <w:r>
        <w:rPr>
          <w:rStyle w:val="FootnoteReference"/>
        </w:rPr>
        <w:footnoteRef/>
      </w:r>
      <w:r>
        <w:t xml:space="preserve"> MPDT 236/03/103C – there are many HPDT cases which have followed this discussion of reflecting adversely on fitness to practise, also drawing a distinction between fitness and competence.</w:t>
      </w:r>
    </w:p>
  </w:footnote>
  <w:footnote w:id="3">
    <w:p w14:paraId="069EEA13" w14:textId="75C44841" w:rsidR="005F4FC1" w:rsidRDefault="005F4FC1">
      <w:pPr>
        <w:pStyle w:val="FootnoteText"/>
      </w:pPr>
      <w:r>
        <w:rPr>
          <w:rStyle w:val="FootnoteReference"/>
        </w:rPr>
        <w:footnoteRef/>
      </w:r>
      <w:r>
        <w:t xml:space="preserve"> Ms Hanley sought a discharge without conviction.</w:t>
      </w:r>
    </w:p>
  </w:footnote>
  <w:footnote w:id="4">
    <w:p w14:paraId="2090C8B5" w14:textId="5277CBA9" w:rsidR="003F4CD8" w:rsidRDefault="003F4CD8">
      <w:pPr>
        <w:pStyle w:val="FootnoteText"/>
      </w:pPr>
      <w:r>
        <w:rPr>
          <w:rStyle w:val="FootnoteReference"/>
        </w:rPr>
        <w:footnoteRef/>
      </w:r>
      <w:r>
        <w:t xml:space="preserve"> PCC interview with Emma Aiken </w:t>
      </w:r>
    </w:p>
  </w:footnote>
  <w:footnote w:id="5">
    <w:p w14:paraId="49C72C0E" w14:textId="59C82EB8" w:rsidR="00C21E6A" w:rsidRDefault="00C21E6A">
      <w:pPr>
        <w:pStyle w:val="FootnoteText"/>
      </w:pPr>
      <w:r>
        <w:rPr>
          <w:rStyle w:val="FootnoteReference"/>
        </w:rPr>
        <w:footnoteRef/>
      </w:r>
      <w:r>
        <w:t xml:space="preserve"> Section 3(a)</w:t>
      </w:r>
    </w:p>
  </w:footnote>
  <w:footnote w:id="6">
    <w:p w14:paraId="6B225E94" w14:textId="4EC460DA" w:rsidR="00C21E6A" w:rsidRDefault="00C21E6A">
      <w:pPr>
        <w:pStyle w:val="FootnoteText"/>
      </w:pPr>
      <w:r>
        <w:rPr>
          <w:rStyle w:val="FootnoteReference"/>
        </w:rPr>
        <w:footnoteRef/>
      </w:r>
      <w:r>
        <w:t xml:space="preserve"> Section 3(d)</w:t>
      </w:r>
    </w:p>
  </w:footnote>
  <w:footnote w:id="7">
    <w:p w14:paraId="4A00B8A5" w14:textId="02A25BFD" w:rsidR="00C21E6A" w:rsidRDefault="00C21E6A">
      <w:pPr>
        <w:pStyle w:val="FootnoteText"/>
      </w:pPr>
      <w:r>
        <w:rPr>
          <w:rStyle w:val="FootnoteReference"/>
        </w:rPr>
        <w:footnoteRef/>
      </w:r>
      <w:r>
        <w:t xml:space="preserve"> HC Wellington CIV 2012-404-003916, 12 December 2012 at [44]-[55]</w:t>
      </w:r>
    </w:p>
  </w:footnote>
  <w:footnote w:id="8">
    <w:p w14:paraId="6BC041E6" w14:textId="31E9416D" w:rsidR="00C21E6A" w:rsidRDefault="00C21E6A">
      <w:pPr>
        <w:pStyle w:val="FootnoteText"/>
      </w:pPr>
      <w:r>
        <w:rPr>
          <w:rStyle w:val="FootnoteReference"/>
        </w:rPr>
        <w:footnoteRef/>
      </w:r>
      <w:r>
        <w:t xml:space="preserve"> 953/Nur17/389P, 8 February 2018</w:t>
      </w:r>
    </w:p>
  </w:footnote>
  <w:footnote w:id="9">
    <w:p w14:paraId="6219CFA3" w14:textId="485E5ACE" w:rsidR="00C21E6A" w:rsidRDefault="00C21E6A">
      <w:pPr>
        <w:pStyle w:val="FootnoteText"/>
      </w:pPr>
      <w:r>
        <w:rPr>
          <w:rStyle w:val="FootnoteReference"/>
        </w:rPr>
        <w:footnoteRef/>
      </w:r>
      <w:r>
        <w:t xml:space="preserve"> At [26]</w:t>
      </w:r>
    </w:p>
  </w:footnote>
  <w:footnote w:id="10">
    <w:p w14:paraId="1AED676A" w14:textId="15A89821" w:rsidR="00C21E6A" w:rsidRDefault="00C21E6A">
      <w:pPr>
        <w:pStyle w:val="FootnoteText"/>
      </w:pPr>
      <w:r>
        <w:rPr>
          <w:rStyle w:val="FootnoteReference"/>
        </w:rPr>
        <w:footnoteRef/>
      </w:r>
      <w:r>
        <w:t xml:space="preserve"> NZTDT 2019/56, 15 October 2019</w:t>
      </w:r>
    </w:p>
  </w:footnote>
  <w:footnote w:id="11">
    <w:p w14:paraId="07883F1C" w14:textId="28DB021A" w:rsidR="00C21E6A" w:rsidRDefault="00C21E6A">
      <w:pPr>
        <w:pStyle w:val="FootnoteText"/>
      </w:pPr>
      <w:r>
        <w:rPr>
          <w:rStyle w:val="FootnoteReference"/>
        </w:rPr>
        <w:footnoteRef/>
      </w:r>
      <w:r>
        <w:t xml:space="preserve"> NZTDT 2018/68, 4 February 2019</w:t>
      </w:r>
    </w:p>
  </w:footnote>
  <w:footnote w:id="12">
    <w:p w14:paraId="310FCF7E" w14:textId="488CCED4" w:rsidR="00E12774" w:rsidRDefault="00E12774">
      <w:pPr>
        <w:pStyle w:val="FootnoteText"/>
      </w:pPr>
      <w:r>
        <w:rPr>
          <w:rStyle w:val="FootnoteReference"/>
        </w:rPr>
        <w:footnoteRef/>
      </w:r>
      <w:r>
        <w:t xml:space="preserve"> Dr Perez report to PCC 26 January 2020</w:t>
      </w:r>
    </w:p>
  </w:footnote>
  <w:footnote w:id="13">
    <w:p w14:paraId="3396891D" w14:textId="3D35CFFE" w:rsidR="00C21E6A" w:rsidRDefault="00C21E6A">
      <w:pPr>
        <w:pStyle w:val="FootnoteText"/>
      </w:pPr>
      <w:r>
        <w:rPr>
          <w:rStyle w:val="FootnoteReference"/>
        </w:rPr>
        <w:footnoteRef/>
      </w:r>
      <w:r>
        <w:t xml:space="preserve"> [2012] NZHC 1138</w:t>
      </w:r>
    </w:p>
  </w:footnote>
  <w:footnote w:id="14">
    <w:p w14:paraId="30CCB203" w14:textId="493A1B26" w:rsidR="00C21E6A" w:rsidRDefault="00C21E6A">
      <w:pPr>
        <w:pStyle w:val="FootnoteText"/>
      </w:pPr>
      <w:r>
        <w:rPr>
          <w:rStyle w:val="FootnoteReference"/>
        </w:rPr>
        <w:footnoteRef/>
      </w:r>
      <w:r>
        <w:t xml:space="preserve"> Going; Harrison</w:t>
      </w:r>
    </w:p>
  </w:footnote>
  <w:footnote w:id="15">
    <w:p w14:paraId="7FD263D7" w14:textId="0CA72A59" w:rsidR="00C21E6A" w:rsidRDefault="00C21E6A">
      <w:pPr>
        <w:pStyle w:val="FootnoteText"/>
      </w:pPr>
      <w:r>
        <w:rPr>
          <w:rStyle w:val="FootnoteReference"/>
        </w:rPr>
        <w:footnoteRef/>
      </w:r>
      <w:r>
        <w:t xml:space="preserve"> HC Wellington AP23/94, 14 September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AD18" w14:textId="77777777" w:rsidR="006D30E6" w:rsidRPr="00CF70A1" w:rsidRDefault="006D30E6" w:rsidP="006D30E6">
    <w:pPr>
      <w:spacing w:after="120"/>
      <w:ind w:left="-1077" w:firstLine="1077"/>
      <w:rPr>
        <w:rFonts w:ascii="Arial Narrow" w:hAnsi="Arial Narrow" w:cs="Calibri"/>
        <w:b/>
        <w:color w:val="0070C0"/>
        <w:szCs w:val="24"/>
      </w:rPr>
    </w:pPr>
    <w:r w:rsidRPr="00CF70A1">
      <w:rPr>
        <w:rFonts w:ascii="Arial Narrow" w:hAnsi="Arial Narrow" w:cs="Calibri"/>
        <w:b/>
        <w:color w:val="0070C0"/>
        <w:sz w:val="32"/>
        <w:szCs w:val="32"/>
      </w:rPr>
      <w:t>Social Workers Complaints and Disciplinary Tribunal</w:t>
    </w:r>
  </w:p>
  <w:p w14:paraId="368E341B" w14:textId="77777777" w:rsidR="006D30E6" w:rsidRPr="00CF70A1" w:rsidRDefault="006D30E6" w:rsidP="006D30E6">
    <w:pPr>
      <w:spacing w:after="120"/>
      <w:ind w:left="-1077" w:firstLine="1077"/>
      <w:rPr>
        <w:rFonts w:ascii="Arial Narrow" w:hAnsi="Arial Narrow" w:cs="Calibri"/>
        <w:color w:val="0070C0"/>
      </w:rPr>
    </w:pPr>
    <w:r w:rsidRPr="00CF70A1">
      <w:rPr>
        <w:rFonts w:ascii="Arial Narrow" w:hAnsi="Arial Narrow" w:cs="Calibri"/>
        <w:b/>
        <w:color w:val="0070C0"/>
        <w:szCs w:val="24"/>
      </w:rPr>
      <w:t>Social Workers Registration Act 2003</w:t>
    </w:r>
  </w:p>
  <w:p w14:paraId="23998029" w14:textId="4CCC8AF0" w:rsidR="00C21E6A" w:rsidRDefault="00C21E6A">
    <w:pPr>
      <w:pStyle w:val="Header"/>
      <w:jc w:val="center"/>
    </w:pPr>
  </w:p>
  <w:p w14:paraId="0626FA1E" w14:textId="77777777" w:rsidR="00C21E6A" w:rsidRDefault="00C21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20909" w14:textId="77777777" w:rsidR="00980624" w:rsidRDefault="00980624">
    <w:pPr>
      <w:pStyle w:val="Header"/>
      <w:jc w:val="center"/>
    </w:pPr>
  </w:p>
  <w:p w14:paraId="34C13E31" w14:textId="77777777" w:rsidR="00980624" w:rsidRDefault="00980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0066"/>
    <w:multiLevelType w:val="hybridMultilevel"/>
    <w:tmpl w:val="0D3403FE"/>
    <w:lvl w:ilvl="0" w:tplc="EFF678BA">
      <w:start w:val="1"/>
      <w:numFmt w:val="decimal"/>
      <w:lvlText w:val="%1."/>
      <w:lvlJc w:val="left"/>
      <w:pPr>
        <w:ind w:left="1800" w:hanging="360"/>
      </w:pPr>
      <w:rPr>
        <w:rFonts w:hint="default"/>
      </w:r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15:restartNumberingAfterBreak="0">
    <w:nsid w:val="1E805466"/>
    <w:multiLevelType w:val="hybridMultilevel"/>
    <w:tmpl w:val="DCEE4D42"/>
    <w:lvl w:ilvl="0" w:tplc="6E588C6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388F03B1"/>
    <w:multiLevelType w:val="hybridMultilevel"/>
    <w:tmpl w:val="871A7EAC"/>
    <w:lvl w:ilvl="0" w:tplc="D814F85C">
      <w:start w:val="1"/>
      <w:numFmt w:val="lowerRoman"/>
      <w:lvlText w:val="(%1)"/>
      <w:lvlJc w:val="left"/>
      <w:pPr>
        <w:ind w:left="2880" w:hanging="72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3" w15:restartNumberingAfterBreak="0">
    <w:nsid w:val="46E50987"/>
    <w:multiLevelType w:val="hybridMultilevel"/>
    <w:tmpl w:val="BEA8CB3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4715A90"/>
    <w:multiLevelType w:val="hybridMultilevel"/>
    <w:tmpl w:val="44BEACE2"/>
    <w:lvl w:ilvl="0" w:tplc="A8647BD0">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F6"/>
    <w:rsid w:val="00006DBB"/>
    <w:rsid w:val="00016787"/>
    <w:rsid w:val="000170EC"/>
    <w:rsid w:val="0007243F"/>
    <w:rsid w:val="000915DA"/>
    <w:rsid w:val="000964C3"/>
    <w:rsid w:val="000A1658"/>
    <w:rsid w:val="000A4EFE"/>
    <w:rsid w:val="000A59DA"/>
    <w:rsid w:val="000B3ADF"/>
    <w:rsid w:val="000C390E"/>
    <w:rsid w:val="000C7B85"/>
    <w:rsid w:val="000D77AB"/>
    <w:rsid w:val="000E4DC2"/>
    <w:rsid w:val="000F3315"/>
    <w:rsid w:val="00133D6A"/>
    <w:rsid w:val="00134EA5"/>
    <w:rsid w:val="00143ECD"/>
    <w:rsid w:val="00164CB3"/>
    <w:rsid w:val="00173296"/>
    <w:rsid w:val="001900CC"/>
    <w:rsid w:val="00193933"/>
    <w:rsid w:val="001A3821"/>
    <w:rsid w:val="001C679A"/>
    <w:rsid w:val="001F360E"/>
    <w:rsid w:val="002047A6"/>
    <w:rsid w:val="00210517"/>
    <w:rsid w:val="0024259F"/>
    <w:rsid w:val="00251C83"/>
    <w:rsid w:val="00266AED"/>
    <w:rsid w:val="00270200"/>
    <w:rsid w:val="00275C35"/>
    <w:rsid w:val="00276B6B"/>
    <w:rsid w:val="00291A67"/>
    <w:rsid w:val="002A26BA"/>
    <w:rsid w:val="002A3790"/>
    <w:rsid w:val="002A48B8"/>
    <w:rsid w:val="002C34FF"/>
    <w:rsid w:val="002D6C0D"/>
    <w:rsid w:val="002E0297"/>
    <w:rsid w:val="002E0870"/>
    <w:rsid w:val="002F0EC9"/>
    <w:rsid w:val="002F1DA1"/>
    <w:rsid w:val="002F378A"/>
    <w:rsid w:val="00301E46"/>
    <w:rsid w:val="00304E7B"/>
    <w:rsid w:val="00313498"/>
    <w:rsid w:val="0032634D"/>
    <w:rsid w:val="00327FB7"/>
    <w:rsid w:val="0033743E"/>
    <w:rsid w:val="00340ABE"/>
    <w:rsid w:val="00344936"/>
    <w:rsid w:val="0035214C"/>
    <w:rsid w:val="00354965"/>
    <w:rsid w:val="003569C0"/>
    <w:rsid w:val="00360121"/>
    <w:rsid w:val="0037130A"/>
    <w:rsid w:val="00371FCB"/>
    <w:rsid w:val="00385D4B"/>
    <w:rsid w:val="0039436C"/>
    <w:rsid w:val="003A0944"/>
    <w:rsid w:val="003A2864"/>
    <w:rsid w:val="003A5B9F"/>
    <w:rsid w:val="003B1A5E"/>
    <w:rsid w:val="003B4B26"/>
    <w:rsid w:val="003B727F"/>
    <w:rsid w:val="003B748B"/>
    <w:rsid w:val="003D72F7"/>
    <w:rsid w:val="003F4CD8"/>
    <w:rsid w:val="004005CE"/>
    <w:rsid w:val="00404597"/>
    <w:rsid w:val="00456F2C"/>
    <w:rsid w:val="00471679"/>
    <w:rsid w:val="00482C57"/>
    <w:rsid w:val="00495F18"/>
    <w:rsid w:val="004A7066"/>
    <w:rsid w:val="004B11FA"/>
    <w:rsid w:val="004B50CA"/>
    <w:rsid w:val="004C3E3B"/>
    <w:rsid w:val="004C7C39"/>
    <w:rsid w:val="004E42A2"/>
    <w:rsid w:val="004E6279"/>
    <w:rsid w:val="00501028"/>
    <w:rsid w:val="0050507E"/>
    <w:rsid w:val="005213EF"/>
    <w:rsid w:val="0052645D"/>
    <w:rsid w:val="00536643"/>
    <w:rsid w:val="00537A32"/>
    <w:rsid w:val="0056419D"/>
    <w:rsid w:val="005735BE"/>
    <w:rsid w:val="00583037"/>
    <w:rsid w:val="00584E6D"/>
    <w:rsid w:val="005934C3"/>
    <w:rsid w:val="005970C2"/>
    <w:rsid w:val="005A0BC5"/>
    <w:rsid w:val="005A3785"/>
    <w:rsid w:val="005B3E33"/>
    <w:rsid w:val="005C13AF"/>
    <w:rsid w:val="005C6AC9"/>
    <w:rsid w:val="005D1A7C"/>
    <w:rsid w:val="005E2B20"/>
    <w:rsid w:val="005F4FC1"/>
    <w:rsid w:val="0060754E"/>
    <w:rsid w:val="00615B29"/>
    <w:rsid w:val="00621965"/>
    <w:rsid w:val="00631C8D"/>
    <w:rsid w:val="006457DB"/>
    <w:rsid w:val="0064696F"/>
    <w:rsid w:val="00653AED"/>
    <w:rsid w:val="00661AF0"/>
    <w:rsid w:val="006623B2"/>
    <w:rsid w:val="0067171C"/>
    <w:rsid w:val="00671A08"/>
    <w:rsid w:val="00685AE3"/>
    <w:rsid w:val="00695FF8"/>
    <w:rsid w:val="006A1264"/>
    <w:rsid w:val="006A730F"/>
    <w:rsid w:val="006B012B"/>
    <w:rsid w:val="006D30E6"/>
    <w:rsid w:val="006D555A"/>
    <w:rsid w:val="006D5E86"/>
    <w:rsid w:val="006E7D68"/>
    <w:rsid w:val="00704BEE"/>
    <w:rsid w:val="00713828"/>
    <w:rsid w:val="00717AE9"/>
    <w:rsid w:val="00722674"/>
    <w:rsid w:val="0073501A"/>
    <w:rsid w:val="00741274"/>
    <w:rsid w:val="00745B5B"/>
    <w:rsid w:val="00750298"/>
    <w:rsid w:val="0078200D"/>
    <w:rsid w:val="007914C5"/>
    <w:rsid w:val="007A0837"/>
    <w:rsid w:val="007B7B35"/>
    <w:rsid w:val="007C0775"/>
    <w:rsid w:val="007D6CF6"/>
    <w:rsid w:val="007F0D42"/>
    <w:rsid w:val="007F0F86"/>
    <w:rsid w:val="007F1C1F"/>
    <w:rsid w:val="007F2326"/>
    <w:rsid w:val="00804DC7"/>
    <w:rsid w:val="008078AA"/>
    <w:rsid w:val="00830CF3"/>
    <w:rsid w:val="0086002F"/>
    <w:rsid w:val="0086798D"/>
    <w:rsid w:val="00874589"/>
    <w:rsid w:val="00885FEE"/>
    <w:rsid w:val="0088796A"/>
    <w:rsid w:val="008A7433"/>
    <w:rsid w:val="008B0456"/>
    <w:rsid w:val="008B308D"/>
    <w:rsid w:val="008C4590"/>
    <w:rsid w:val="008C653A"/>
    <w:rsid w:val="008D4BC0"/>
    <w:rsid w:val="00936D8E"/>
    <w:rsid w:val="00937A47"/>
    <w:rsid w:val="009458AA"/>
    <w:rsid w:val="00953D0E"/>
    <w:rsid w:val="00954D82"/>
    <w:rsid w:val="00980624"/>
    <w:rsid w:val="009863B6"/>
    <w:rsid w:val="00993D9D"/>
    <w:rsid w:val="009C41FE"/>
    <w:rsid w:val="009D037F"/>
    <w:rsid w:val="009D137F"/>
    <w:rsid w:val="009E2BA2"/>
    <w:rsid w:val="009E3D72"/>
    <w:rsid w:val="009F222D"/>
    <w:rsid w:val="009F5E79"/>
    <w:rsid w:val="00A00FFF"/>
    <w:rsid w:val="00A45B0F"/>
    <w:rsid w:val="00A57F5D"/>
    <w:rsid w:val="00A62157"/>
    <w:rsid w:val="00A703D1"/>
    <w:rsid w:val="00A72BE2"/>
    <w:rsid w:val="00A836E8"/>
    <w:rsid w:val="00A902FB"/>
    <w:rsid w:val="00A96968"/>
    <w:rsid w:val="00AA339D"/>
    <w:rsid w:val="00AA72D7"/>
    <w:rsid w:val="00AB7289"/>
    <w:rsid w:val="00AC26F5"/>
    <w:rsid w:val="00AC2FA0"/>
    <w:rsid w:val="00AE7A79"/>
    <w:rsid w:val="00B1179D"/>
    <w:rsid w:val="00B17D9C"/>
    <w:rsid w:val="00B25D4F"/>
    <w:rsid w:val="00B32D9F"/>
    <w:rsid w:val="00B46AC5"/>
    <w:rsid w:val="00B5286C"/>
    <w:rsid w:val="00B6418C"/>
    <w:rsid w:val="00B71E98"/>
    <w:rsid w:val="00B91164"/>
    <w:rsid w:val="00B93517"/>
    <w:rsid w:val="00B94900"/>
    <w:rsid w:val="00BC6D5B"/>
    <w:rsid w:val="00BE6A28"/>
    <w:rsid w:val="00BF2084"/>
    <w:rsid w:val="00BF33CD"/>
    <w:rsid w:val="00BF696A"/>
    <w:rsid w:val="00C069E4"/>
    <w:rsid w:val="00C21E6A"/>
    <w:rsid w:val="00C3177B"/>
    <w:rsid w:val="00C45526"/>
    <w:rsid w:val="00C5674A"/>
    <w:rsid w:val="00C57E8E"/>
    <w:rsid w:val="00C678CD"/>
    <w:rsid w:val="00C679C4"/>
    <w:rsid w:val="00C719C6"/>
    <w:rsid w:val="00C80D0B"/>
    <w:rsid w:val="00C85024"/>
    <w:rsid w:val="00CA2751"/>
    <w:rsid w:val="00CA6F23"/>
    <w:rsid w:val="00CB0683"/>
    <w:rsid w:val="00CE1728"/>
    <w:rsid w:val="00CE3FB9"/>
    <w:rsid w:val="00CE4545"/>
    <w:rsid w:val="00CF3A2E"/>
    <w:rsid w:val="00D02802"/>
    <w:rsid w:val="00D06ABB"/>
    <w:rsid w:val="00D1008B"/>
    <w:rsid w:val="00D126CA"/>
    <w:rsid w:val="00D230EB"/>
    <w:rsid w:val="00D30415"/>
    <w:rsid w:val="00D4549F"/>
    <w:rsid w:val="00D474F4"/>
    <w:rsid w:val="00D55787"/>
    <w:rsid w:val="00D677A3"/>
    <w:rsid w:val="00D713B2"/>
    <w:rsid w:val="00D87898"/>
    <w:rsid w:val="00D9076C"/>
    <w:rsid w:val="00DC486A"/>
    <w:rsid w:val="00DC7505"/>
    <w:rsid w:val="00DE6A88"/>
    <w:rsid w:val="00DF6F18"/>
    <w:rsid w:val="00E04779"/>
    <w:rsid w:val="00E12774"/>
    <w:rsid w:val="00E140DA"/>
    <w:rsid w:val="00E14CCB"/>
    <w:rsid w:val="00E34434"/>
    <w:rsid w:val="00E57468"/>
    <w:rsid w:val="00E630C4"/>
    <w:rsid w:val="00EB37E3"/>
    <w:rsid w:val="00ED400D"/>
    <w:rsid w:val="00EF0CC1"/>
    <w:rsid w:val="00EF2269"/>
    <w:rsid w:val="00EF3280"/>
    <w:rsid w:val="00F047CB"/>
    <w:rsid w:val="00F132C2"/>
    <w:rsid w:val="00F37A56"/>
    <w:rsid w:val="00F45B8C"/>
    <w:rsid w:val="00F55CAB"/>
    <w:rsid w:val="00F614AC"/>
    <w:rsid w:val="00F76FCF"/>
    <w:rsid w:val="00F8512B"/>
    <w:rsid w:val="00F856C9"/>
    <w:rsid w:val="00F94BE2"/>
    <w:rsid w:val="00F96B66"/>
    <w:rsid w:val="00FA2FBD"/>
    <w:rsid w:val="00FA6803"/>
    <w:rsid w:val="00FB7B9A"/>
    <w:rsid w:val="00FE4F35"/>
    <w:rsid w:val="00FE79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FC9D2"/>
  <w15:chartTrackingRefBased/>
  <w15:docId w15:val="{9EE0535E-A038-4E57-B056-0A220326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CF6"/>
    <w:pPr>
      <w:ind w:left="720"/>
      <w:contextualSpacing/>
    </w:pPr>
  </w:style>
  <w:style w:type="paragraph" w:styleId="Header">
    <w:name w:val="header"/>
    <w:basedOn w:val="Normal"/>
    <w:link w:val="HeaderChar"/>
    <w:uiPriority w:val="99"/>
    <w:unhideWhenUsed/>
    <w:rsid w:val="00204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7A6"/>
  </w:style>
  <w:style w:type="paragraph" w:styleId="Footer">
    <w:name w:val="footer"/>
    <w:basedOn w:val="Normal"/>
    <w:link w:val="FooterChar"/>
    <w:uiPriority w:val="99"/>
    <w:unhideWhenUsed/>
    <w:rsid w:val="00204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7A6"/>
  </w:style>
  <w:style w:type="paragraph" w:styleId="FootnoteText">
    <w:name w:val="footnote text"/>
    <w:basedOn w:val="Normal"/>
    <w:link w:val="FootnoteTextChar"/>
    <w:uiPriority w:val="99"/>
    <w:semiHidden/>
    <w:unhideWhenUsed/>
    <w:rsid w:val="00DE6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A88"/>
    <w:rPr>
      <w:sz w:val="20"/>
      <w:szCs w:val="20"/>
    </w:rPr>
  </w:style>
  <w:style w:type="character" w:styleId="FootnoteReference">
    <w:name w:val="footnote reference"/>
    <w:basedOn w:val="DefaultParagraphFont"/>
    <w:uiPriority w:val="99"/>
    <w:semiHidden/>
    <w:unhideWhenUsed/>
    <w:rsid w:val="00DE6A88"/>
    <w:rPr>
      <w:vertAlign w:val="superscript"/>
    </w:rPr>
  </w:style>
  <w:style w:type="paragraph" w:styleId="BalloonText">
    <w:name w:val="Balloon Text"/>
    <w:basedOn w:val="Normal"/>
    <w:link w:val="BalloonTextChar"/>
    <w:uiPriority w:val="99"/>
    <w:semiHidden/>
    <w:unhideWhenUsed/>
    <w:rsid w:val="00C57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8E"/>
    <w:rPr>
      <w:rFonts w:ascii="Segoe UI" w:hAnsi="Segoe UI" w:cs="Segoe UI"/>
      <w:sz w:val="18"/>
      <w:szCs w:val="18"/>
    </w:rPr>
  </w:style>
  <w:style w:type="character" w:styleId="CommentReference">
    <w:name w:val="annotation reference"/>
    <w:basedOn w:val="DefaultParagraphFont"/>
    <w:uiPriority w:val="99"/>
    <w:semiHidden/>
    <w:unhideWhenUsed/>
    <w:rsid w:val="000C7B85"/>
    <w:rPr>
      <w:sz w:val="16"/>
      <w:szCs w:val="16"/>
    </w:rPr>
  </w:style>
  <w:style w:type="paragraph" w:styleId="CommentText">
    <w:name w:val="annotation text"/>
    <w:basedOn w:val="Normal"/>
    <w:link w:val="CommentTextChar"/>
    <w:uiPriority w:val="99"/>
    <w:semiHidden/>
    <w:unhideWhenUsed/>
    <w:rsid w:val="000C7B85"/>
    <w:pPr>
      <w:spacing w:line="240" w:lineRule="auto"/>
    </w:pPr>
    <w:rPr>
      <w:sz w:val="20"/>
      <w:szCs w:val="20"/>
    </w:rPr>
  </w:style>
  <w:style w:type="character" w:customStyle="1" w:styleId="CommentTextChar">
    <w:name w:val="Comment Text Char"/>
    <w:basedOn w:val="DefaultParagraphFont"/>
    <w:link w:val="CommentText"/>
    <w:uiPriority w:val="99"/>
    <w:semiHidden/>
    <w:rsid w:val="000C7B85"/>
    <w:rPr>
      <w:sz w:val="20"/>
      <w:szCs w:val="20"/>
    </w:rPr>
  </w:style>
  <w:style w:type="paragraph" w:styleId="CommentSubject">
    <w:name w:val="annotation subject"/>
    <w:basedOn w:val="CommentText"/>
    <w:next w:val="CommentText"/>
    <w:link w:val="CommentSubjectChar"/>
    <w:uiPriority w:val="99"/>
    <w:semiHidden/>
    <w:unhideWhenUsed/>
    <w:rsid w:val="000C7B85"/>
    <w:rPr>
      <w:b/>
      <w:bCs/>
    </w:rPr>
  </w:style>
  <w:style w:type="character" w:customStyle="1" w:styleId="CommentSubjectChar">
    <w:name w:val="Comment Subject Char"/>
    <w:basedOn w:val="CommentTextChar"/>
    <w:link w:val="CommentSubject"/>
    <w:uiPriority w:val="99"/>
    <w:semiHidden/>
    <w:rsid w:val="000C7B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5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E503-C760-4C7C-9D5D-16058DD5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E6F4B43F</Template>
  <TotalTime>8</TotalTime>
  <Pages>1</Pages>
  <Words>3788</Words>
  <Characters>21593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Garvey</dc:creator>
  <cp:keywords/>
  <dc:description/>
  <cp:lastModifiedBy>Gay Fraser</cp:lastModifiedBy>
  <cp:revision>4</cp:revision>
  <cp:lastPrinted>2020-12-01T20:24:00Z</cp:lastPrinted>
  <dcterms:created xsi:type="dcterms:W3CDTF">2021-02-02T22:29:00Z</dcterms:created>
  <dcterms:modified xsi:type="dcterms:W3CDTF">2021-02-02T23:55:00Z</dcterms:modified>
</cp:coreProperties>
</file>