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E4C31" w14:textId="77777777" w:rsidR="00285939" w:rsidRPr="00285939" w:rsidRDefault="00285939" w:rsidP="00285939">
      <w:pPr>
        <w:spacing w:after="0" w:line="240" w:lineRule="auto"/>
        <w:jc w:val="both"/>
        <w:rPr>
          <w:rFonts w:ascii="Calibri" w:eastAsia="Times New Roman" w:hAnsi="Calibri" w:cs="Calibri"/>
          <w:b/>
          <w:sz w:val="24"/>
          <w:szCs w:val="20"/>
          <w:lang w:val="en-GB"/>
        </w:rPr>
      </w:pPr>
      <w:r w:rsidRPr="00285939">
        <w:rPr>
          <w:rFonts w:ascii="Calibri" w:eastAsia="Times New Roman" w:hAnsi="Calibri" w:cs="Calibri"/>
          <w:b/>
          <w:sz w:val="24"/>
          <w:szCs w:val="20"/>
          <w:lang w:val="en-GB"/>
        </w:rPr>
        <w:t>BEFORE THE SOCIAL WORKERS COMPLAINTS AND DISCIPLINARY TRIBUNAL</w:t>
      </w:r>
    </w:p>
    <w:p w14:paraId="4F7DE2C5" w14:textId="77777777" w:rsidR="00285939" w:rsidRPr="00285939" w:rsidRDefault="00285939" w:rsidP="00285939">
      <w:pPr>
        <w:spacing w:after="0" w:line="240" w:lineRule="auto"/>
        <w:jc w:val="both"/>
        <w:rPr>
          <w:rFonts w:ascii="Calibri" w:eastAsia="Times New Roman" w:hAnsi="Calibri" w:cs="Calibri"/>
          <w:b/>
          <w:sz w:val="24"/>
          <w:szCs w:val="20"/>
          <w:lang w:val="en-GB"/>
        </w:rPr>
      </w:pPr>
    </w:p>
    <w:p w14:paraId="2B7179DB" w14:textId="77777777" w:rsidR="00285939" w:rsidRPr="00285939" w:rsidRDefault="00285939" w:rsidP="00285939">
      <w:pPr>
        <w:tabs>
          <w:tab w:val="left" w:pos="2552"/>
        </w:tabs>
        <w:spacing w:after="0" w:line="240" w:lineRule="auto"/>
        <w:jc w:val="both"/>
        <w:rPr>
          <w:rFonts w:ascii="Calibri" w:eastAsia="Times New Roman" w:hAnsi="Calibri" w:cs="Calibri"/>
          <w:b/>
          <w:sz w:val="24"/>
          <w:szCs w:val="20"/>
          <w:lang w:val="en-GB"/>
        </w:rPr>
      </w:pPr>
      <w:r w:rsidRPr="00285939">
        <w:rPr>
          <w:rFonts w:ascii="Calibri" w:eastAsia="Times New Roman" w:hAnsi="Calibri" w:cs="Calibri"/>
          <w:b/>
          <w:sz w:val="24"/>
          <w:szCs w:val="20"/>
          <w:lang w:val="en-GB"/>
        </w:rPr>
        <w:tab/>
      </w:r>
    </w:p>
    <w:p w14:paraId="3B5C9BAE" w14:textId="65AB1797" w:rsidR="00285939" w:rsidRPr="00285939" w:rsidRDefault="00285939" w:rsidP="00285939">
      <w:pPr>
        <w:tabs>
          <w:tab w:val="left" w:pos="2552"/>
        </w:tabs>
        <w:spacing w:after="0" w:line="240" w:lineRule="auto"/>
        <w:jc w:val="both"/>
        <w:rPr>
          <w:rFonts w:ascii="Calibri" w:eastAsia="Times New Roman" w:hAnsi="Calibri" w:cs="Calibri"/>
          <w:b/>
          <w:sz w:val="24"/>
          <w:szCs w:val="20"/>
          <w:lang w:val="en-GB"/>
        </w:rPr>
      </w:pPr>
      <w:r w:rsidRPr="00285939">
        <w:rPr>
          <w:rFonts w:ascii="Calibri" w:eastAsia="Times New Roman" w:hAnsi="Calibri" w:cs="Calibri"/>
          <w:b/>
          <w:sz w:val="24"/>
          <w:szCs w:val="20"/>
          <w:lang w:val="en-GB"/>
        </w:rPr>
        <w:tab/>
        <w:t>REF</w:t>
      </w:r>
      <w:r w:rsidRPr="00285939">
        <w:rPr>
          <w:rFonts w:ascii="Calibri" w:eastAsia="Times New Roman" w:hAnsi="Calibri" w:cs="Calibri"/>
          <w:b/>
          <w:sz w:val="24"/>
          <w:szCs w:val="20"/>
          <w:lang w:val="en-GB"/>
        </w:rPr>
        <w:tab/>
      </w:r>
      <w:r w:rsidRPr="00285939">
        <w:rPr>
          <w:rFonts w:ascii="Calibri" w:eastAsia="Times New Roman" w:hAnsi="Calibri" w:cs="Calibri"/>
          <w:b/>
          <w:sz w:val="24"/>
          <w:szCs w:val="20"/>
          <w:lang w:val="en-GB"/>
        </w:rPr>
        <w:tab/>
        <w:t>RSW</w:t>
      </w:r>
      <w:r w:rsidR="00FF120C">
        <w:rPr>
          <w:rFonts w:ascii="Calibri" w:eastAsia="Times New Roman" w:hAnsi="Calibri" w:cs="Calibri"/>
          <w:b/>
          <w:sz w:val="24"/>
          <w:szCs w:val="20"/>
          <w:lang w:val="en-GB"/>
        </w:rPr>
        <w:t>7</w:t>
      </w:r>
      <w:r w:rsidRPr="00285939">
        <w:rPr>
          <w:rFonts w:ascii="Calibri" w:eastAsia="Times New Roman" w:hAnsi="Calibri" w:cs="Calibri"/>
          <w:b/>
          <w:sz w:val="24"/>
          <w:szCs w:val="20"/>
          <w:lang w:val="en-GB"/>
        </w:rPr>
        <w:t>/</w:t>
      </w:r>
      <w:r w:rsidR="00BC61D3">
        <w:rPr>
          <w:rFonts w:ascii="Calibri" w:eastAsia="Times New Roman" w:hAnsi="Calibri" w:cs="Calibri"/>
          <w:b/>
          <w:sz w:val="24"/>
          <w:szCs w:val="20"/>
          <w:lang w:val="en-GB"/>
        </w:rPr>
        <w:t>D1/</w:t>
      </w:r>
      <w:r w:rsidRPr="00285939">
        <w:rPr>
          <w:rFonts w:ascii="Calibri" w:eastAsia="Times New Roman" w:hAnsi="Calibri" w:cs="Calibri"/>
          <w:b/>
          <w:sz w:val="24"/>
          <w:szCs w:val="20"/>
          <w:lang w:val="en-GB"/>
        </w:rPr>
        <w:t>SWDT/2020</w:t>
      </w:r>
    </w:p>
    <w:p w14:paraId="6ACD22DF" w14:textId="77777777" w:rsidR="00285939" w:rsidRPr="00285939" w:rsidRDefault="00285939" w:rsidP="00285939">
      <w:pPr>
        <w:spacing w:after="0" w:line="240" w:lineRule="auto"/>
        <w:jc w:val="both"/>
        <w:rPr>
          <w:rFonts w:ascii="Calibri" w:eastAsia="Times New Roman" w:hAnsi="Calibri" w:cs="Calibri"/>
          <w:b/>
          <w:sz w:val="24"/>
          <w:szCs w:val="20"/>
          <w:lang w:val="en-GB"/>
        </w:rPr>
      </w:pPr>
    </w:p>
    <w:p w14:paraId="5ABFBBD9" w14:textId="77777777" w:rsidR="00285939" w:rsidRPr="00285939" w:rsidRDefault="00285939" w:rsidP="00285939">
      <w:pPr>
        <w:spacing w:after="0" w:line="240" w:lineRule="auto"/>
        <w:jc w:val="both"/>
        <w:rPr>
          <w:rFonts w:ascii="Calibri" w:eastAsia="Times New Roman" w:hAnsi="Calibri" w:cs="Calibri"/>
          <w:sz w:val="24"/>
          <w:szCs w:val="20"/>
          <w:lang w:val="en-GB"/>
        </w:rPr>
      </w:pPr>
    </w:p>
    <w:p w14:paraId="089650F9" w14:textId="77777777" w:rsidR="00285939" w:rsidRPr="00285939" w:rsidRDefault="00285939" w:rsidP="00285939">
      <w:pPr>
        <w:tabs>
          <w:tab w:val="left" w:pos="884"/>
          <w:tab w:val="left" w:pos="1418"/>
          <w:tab w:val="left" w:pos="2552"/>
          <w:tab w:val="left" w:pos="4253"/>
        </w:tabs>
        <w:spacing w:after="0" w:line="480" w:lineRule="auto"/>
        <w:ind w:left="4253" w:hanging="2410"/>
        <w:rPr>
          <w:rFonts w:ascii="Calibri" w:eastAsia="Times New Roman" w:hAnsi="Calibri" w:cs="Calibri"/>
          <w:sz w:val="24"/>
          <w:szCs w:val="20"/>
          <w:lang w:val="en-GB"/>
        </w:rPr>
      </w:pPr>
      <w:r w:rsidRPr="00285939">
        <w:rPr>
          <w:rFonts w:ascii="Calibri" w:eastAsia="Times New Roman" w:hAnsi="Calibri" w:cs="Calibri"/>
          <w:b/>
          <w:sz w:val="24"/>
          <w:szCs w:val="20"/>
          <w:lang w:val="en-GB"/>
        </w:rPr>
        <w:tab/>
        <w:t>UNDER</w:t>
      </w:r>
      <w:r w:rsidRPr="00285939">
        <w:rPr>
          <w:rFonts w:ascii="Calibri" w:eastAsia="Times New Roman" w:hAnsi="Calibri" w:cs="Calibri"/>
          <w:b/>
          <w:sz w:val="24"/>
          <w:szCs w:val="20"/>
          <w:lang w:val="en-GB"/>
        </w:rPr>
        <w:tab/>
      </w:r>
      <w:r w:rsidRPr="00285939">
        <w:rPr>
          <w:rFonts w:ascii="Calibri" w:eastAsia="Times New Roman" w:hAnsi="Calibri" w:cs="Calibri"/>
          <w:b/>
          <w:sz w:val="24"/>
          <w:szCs w:val="20"/>
          <w:lang w:val="en-GB"/>
        </w:rPr>
        <w:tab/>
      </w:r>
      <w:r w:rsidRPr="00285939">
        <w:rPr>
          <w:rFonts w:ascii="Calibri" w:eastAsia="Times New Roman" w:hAnsi="Calibri" w:cs="Calibri"/>
          <w:sz w:val="24"/>
          <w:szCs w:val="20"/>
          <w:lang w:val="en-GB"/>
        </w:rPr>
        <w:t>the Social Workers Registration Act (“the Act”)</w:t>
      </w:r>
    </w:p>
    <w:p w14:paraId="09AD0B78" w14:textId="77777777" w:rsidR="00285939" w:rsidRPr="00285939" w:rsidRDefault="00285939" w:rsidP="00285939">
      <w:pPr>
        <w:tabs>
          <w:tab w:val="left" w:pos="884"/>
          <w:tab w:val="left" w:pos="1418"/>
          <w:tab w:val="left" w:pos="2552"/>
          <w:tab w:val="left" w:pos="4253"/>
        </w:tabs>
        <w:spacing w:after="0" w:line="480" w:lineRule="auto"/>
        <w:ind w:left="4253" w:hanging="2410"/>
        <w:rPr>
          <w:rFonts w:ascii="Calibri" w:eastAsia="Times New Roman" w:hAnsi="Calibri" w:cs="Calibri"/>
          <w:sz w:val="24"/>
          <w:szCs w:val="20"/>
          <w:lang w:val="en-GB"/>
        </w:rPr>
      </w:pPr>
      <w:r w:rsidRPr="00285939">
        <w:rPr>
          <w:rFonts w:ascii="Calibri" w:eastAsia="Times New Roman" w:hAnsi="Calibri" w:cs="Calibri"/>
          <w:b/>
          <w:sz w:val="24"/>
          <w:szCs w:val="20"/>
          <w:lang w:val="en-GB"/>
        </w:rPr>
        <w:tab/>
        <w:t xml:space="preserve">IN THE MATTER </w:t>
      </w:r>
      <w:r w:rsidRPr="00285939">
        <w:rPr>
          <w:rFonts w:ascii="Calibri" w:eastAsia="Times New Roman" w:hAnsi="Calibri" w:cs="Calibri"/>
          <w:sz w:val="24"/>
          <w:szCs w:val="20"/>
          <w:lang w:val="en-GB"/>
        </w:rPr>
        <w:tab/>
        <w:t>of a disciplinary charge laid against a social worker under Part 4 of the Act.</w:t>
      </w:r>
    </w:p>
    <w:p w14:paraId="4E9DB81C" w14:textId="77777777" w:rsidR="00285939" w:rsidRPr="00285939" w:rsidRDefault="00285939" w:rsidP="00285939">
      <w:pPr>
        <w:tabs>
          <w:tab w:val="left" w:pos="884"/>
          <w:tab w:val="left" w:pos="1418"/>
          <w:tab w:val="left" w:pos="2552"/>
          <w:tab w:val="left" w:pos="4253"/>
        </w:tabs>
        <w:spacing w:after="0" w:line="480" w:lineRule="auto"/>
        <w:ind w:left="4253" w:hanging="2693"/>
        <w:rPr>
          <w:rFonts w:ascii="Calibri" w:eastAsia="Times New Roman" w:hAnsi="Calibri" w:cs="Calibri"/>
          <w:b/>
          <w:sz w:val="24"/>
          <w:szCs w:val="20"/>
          <w:lang w:val="en-GB"/>
        </w:rPr>
      </w:pPr>
      <w:r w:rsidRPr="00285939">
        <w:rPr>
          <w:rFonts w:ascii="Calibri" w:eastAsia="Times New Roman" w:hAnsi="Calibri" w:cs="Calibri"/>
          <w:b/>
          <w:sz w:val="24"/>
          <w:szCs w:val="20"/>
          <w:lang w:val="en-GB"/>
        </w:rPr>
        <w:tab/>
        <w:t>BETWEEN</w:t>
      </w:r>
      <w:r w:rsidRPr="00285939">
        <w:rPr>
          <w:rFonts w:ascii="Calibri" w:eastAsia="Times New Roman" w:hAnsi="Calibri" w:cs="Calibri"/>
          <w:b/>
          <w:sz w:val="24"/>
          <w:szCs w:val="20"/>
          <w:lang w:val="en-GB"/>
        </w:rPr>
        <w:tab/>
        <w:t>A PROFESSIONAL CONDUCT COMMITTEE appointed by the SOCIAL WORKERS REGISTRATION BOARD</w:t>
      </w:r>
    </w:p>
    <w:p w14:paraId="13ACE8E2" w14:textId="77777777" w:rsidR="00285939" w:rsidRPr="00285939" w:rsidRDefault="00285939" w:rsidP="00285939">
      <w:pPr>
        <w:tabs>
          <w:tab w:val="left" w:pos="884"/>
          <w:tab w:val="left" w:pos="1418"/>
          <w:tab w:val="left" w:pos="3402"/>
          <w:tab w:val="left" w:pos="4253"/>
        </w:tabs>
        <w:spacing w:after="0" w:line="480" w:lineRule="auto"/>
        <w:ind w:left="2268"/>
        <w:rPr>
          <w:rFonts w:ascii="Calibri" w:eastAsia="Times New Roman" w:hAnsi="Calibri" w:cs="Calibri"/>
          <w:b/>
          <w:vanish/>
          <w:sz w:val="24"/>
          <w:szCs w:val="20"/>
          <w:lang w:val="en-GB"/>
        </w:rPr>
      </w:pPr>
      <w:r w:rsidRPr="00285939">
        <w:rPr>
          <w:rFonts w:ascii="Calibri" w:eastAsia="Times New Roman" w:hAnsi="Calibri" w:cs="Calibri"/>
          <w:b/>
          <w:sz w:val="24"/>
          <w:szCs w:val="20"/>
          <w:lang w:val="en-GB"/>
        </w:rPr>
        <w:tab/>
      </w:r>
      <w:r w:rsidRPr="00285939">
        <w:rPr>
          <w:rFonts w:ascii="Calibri" w:eastAsia="Times New Roman" w:hAnsi="Calibri" w:cs="Calibri"/>
          <w:b/>
          <w:sz w:val="24"/>
          <w:szCs w:val="20"/>
          <w:lang w:val="en-GB"/>
        </w:rPr>
        <w:tab/>
      </w:r>
      <w:r w:rsidRPr="00285939">
        <w:rPr>
          <w:rFonts w:ascii="Calibri" w:eastAsia="Times New Roman" w:hAnsi="Calibri" w:cs="Calibri"/>
          <w:b/>
          <w:sz w:val="24"/>
          <w:szCs w:val="20"/>
          <w:lang w:val="en-GB"/>
        </w:rPr>
        <w:tab/>
      </w:r>
      <w:r w:rsidRPr="00285939">
        <w:rPr>
          <w:rFonts w:ascii="Calibri" w:eastAsia="Times New Roman" w:hAnsi="Calibri" w:cs="Calibri"/>
          <w:b/>
          <w:vanish/>
          <w:sz w:val="24"/>
          <w:szCs w:val="20"/>
          <w:lang w:val="en-GB"/>
        </w:rPr>
        <w:t>name of the RA in capital</w:t>
      </w:r>
    </w:p>
    <w:p w14:paraId="6B6EF05A" w14:textId="77777777" w:rsidR="00285939" w:rsidRPr="00285939" w:rsidRDefault="00285939" w:rsidP="00285939">
      <w:pPr>
        <w:tabs>
          <w:tab w:val="left" w:pos="884"/>
          <w:tab w:val="left" w:pos="1418"/>
          <w:tab w:val="left" w:pos="3402"/>
          <w:tab w:val="left" w:pos="4253"/>
        </w:tabs>
        <w:spacing w:after="0" w:line="480" w:lineRule="auto"/>
        <w:ind w:left="2268"/>
        <w:jc w:val="both"/>
        <w:rPr>
          <w:rFonts w:ascii="Calibri" w:eastAsia="Times New Roman" w:hAnsi="Calibri" w:cs="Calibri"/>
          <w:b/>
          <w:sz w:val="24"/>
          <w:szCs w:val="20"/>
          <w:lang w:val="en-GB"/>
        </w:rPr>
      </w:pPr>
      <w:r w:rsidRPr="00285939">
        <w:rPr>
          <w:rFonts w:ascii="Calibri" w:eastAsia="Times New Roman" w:hAnsi="Calibri" w:cs="Calibri"/>
          <w:b/>
          <w:vanish/>
          <w:sz w:val="24"/>
          <w:szCs w:val="20"/>
          <w:lang w:val="en-GB"/>
        </w:rPr>
        <w:tab/>
      </w:r>
    </w:p>
    <w:p w14:paraId="1A07AD20" w14:textId="0652142C" w:rsidR="00285939" w:rsidRPr="00285939" w:rsidRDefault="00285939" w:rsidP="00285939">
      <w:pPr>
        <w:tabs>
          <w:tab w:val="left" w:pos="884"/>
          <w:tab w:val="left" w:pos="1418"/>
          <w:tab w:val="left" w:pos="2268"/>
          <w:tab w:val="left" w:pos="2552"/>
          <w:tab w:val="left" w:pos="4253"/>
        </w:tabs>
        <w:spacing w:after="0" w:line="480" w:lineRule="auto"/>
        <w:ind w:left="4253" w:hanging="1985"/>
        <w:rPr>
          <w:rFonts w:ascii="Calibri" w:eastAsia="Times New Roman" w:hAnsi="Calibri" w:cs="Calibri"/>
          <w:sz w:val="24"/>
          <w:szCs w:val="20"/>
          <w:lang w:val="en-GB"/>
        </w:rPr>
      </w:pPr>
      <w:r w:rsidRPr="00285939">
        <w:rPr>
          <w:rFonts w:ascii="Calibri" w:eastAsia="Times New Roman" w:hAnsi="Calibri" w:cs="Calibri"/>
          <w:b/>
          <w:sz w:val="24"/>
          <w:szCs w:val="20"/>
          <w:lang w:val="en-GB"/>
        </w:rPr>
        <w:tab/>
        <w:t>AND</w:t>
      </w:r>
      <w:r w:rsidRPr="00285939">
        <w:rPr>
          <w:rFonts w:ascii="Calibri" w:eastAsia="Times New Roman" w:hAnsi="Calibri" w:cs="Calibri"/>
          <w:b/>
          <w:sz w:val="24"/>
          <w:szCs w:val="20"/>
          <w:lang w:val="en-GB"/>
        </w:rPr>
        <w:tab/>
      </w:r>
      <w:r w:rsidR="00FF120C">
        <w:rPr>
          <w:rFonts w:ascii="Calibri" w:eastAsia="Times New Roman" w:hAnsi="Calibri" w:cs="Calibri"/>
          <w:b/>
          <w:sz w:val="24"/>
          <w:szCs w:val="20"/>
          <w:lang w:val="en-GB"/>
        </w:rPr>
        <w:t xml:space="preserve">MS </w:t>
      </w:r>
      <w:r w:rsidR="00F90249">
        <w:rPr>
          <w:rFonts w:ascii="Calibri" w:eastAsia="Times New Roman" w:hAnsi="Calibri" w:cs="Calibri"/>
          <w:b/>
          <w:sz w:val="24"/>
          <w:szCs w:val="20"/>
          <w:lang w:val="en-GB"/>
        </w:rPr>
        <w:t>S</w:t>
      </w:r>
      <w:r w:rsidRPr="00285939">
        <w:rPr>
          <w:rFonts w:ascii="Calibri" w:eastAsia="Times New Roman" w:hAnsi="Calibri" w:cs="Calibri"/>
          <w:b/>
          <w:sz w:val="24"/>
          <w:szCs w:val="20"/>
          <w:lang w:val="en-GB"/>
        </w:rPr>
        <w:t xml:space="preserve"> </w:t>
      </w:r>
      <w:r w:rsidRPr="00285939">
        <w:rPr>
          <w:rFonts w:ascii="Calibri" w:eastAsia="Times New Roman" w:hAnsi="Calibri" w:cs="Calibri"/>
          <w:b/>
          <w:vanish/>
          <w:sz w:val="24"/>
          <w:szCs w:val="20"/>
          <w:lang w:val="en-GB"/>
        </w:rPr>
        <w:t>name of the practitioner bold and in capitals</w:t>
      </w:r>
      <w:r w:rsidRPr="00285939">
        <w:rPr>
          <w:rFonts w:ascii="Calibri" w:eastAsia="Times New Roman" w:hAnsi="Calibri" w:cs="Calibri"/>
          <w:vanish/>
          <w:sz w:val="24"/>
          <w:szCs w:val="20"/>
          <w:lang w:val="en-GB"/>
        </w:rPr>
        <w:t xml:space="preserve"> </w:t>
      </w:r>
      <w:r w:rsidRPr="00285939">
        <w:rPr>
          <w:rFonts w:ascii="Calibri" w:eastAsia="Times New Roman" w:hAnsi="Calibri" w:cs="Calibri"/>
          <w:sz w:val="24"/>
          <w:szCs w:val="20"/>
          <w:lang w:val="en-GB"/>
        </w:rPr>
        <w:t xml:space="preserve">of </w:t>
      </w:r>
      <w:r w:rsidR="00DD4936">
        <w:rPr>
          <w:rFonts w:ascii="Calibri" w:eastAsia="Times New Roman" w:hAnsi="Calibri" w:cs="Calibri"/>
          <w:sz w:val="24"/>
          <w:szCs w:val="20"/>
          <w:lang w:val="en-GB"/>
        </w:rPr>
        <w:t>Auckland</w:t>
      </w:r>
      <w:r w:rsidRPr="00285939">
        <w:rPr>
          <w:rFonts w:ascii="Calibri" w:eastAsia="Times New Roman" w:hAnsi="Calibri" w:cs="Calibri"/>
          <w:sz w:val="24"/>
          <w:szCs w:val="20"/>
          <w:lang w:val="en-GB"/>
        </w:rPr>
        <w:t xml:space="preserve">, </w:t>
      </w:r>
      <w:r w:rsidR="00BC61D3">
        <w:rPr>
          <w:rFonts w:ascii="Calibri" w:eastAsia="Times New Roman" w:hAnsi="Calibri" w:cs="Calibri"/>
          <w:sz w:val="24"/>
          <w:szCs w:val="20"/>
          <w:lang w:val="en-GB"/>
        </w:rPr>
        <w:t xml:space="preserve">provisionally </w:t>
      </w:r>
      <w:r w:rsidRPr="00285939">
        <w:rPr>
          <w:rFonts w:ascii="Calibri" w:eastAsia="Times New Roman" w:hAnsi="Calibri" w:cs="Calibri"/>
          <w:sz w:val="24"/>
          <w:szCs w:val="20"/>
          <w:lang w:val="en-GB"/>
        </w:rPr>
        <w:t>registered social worker</w:t>
      </w:r>
    </w:p>
    <w:p w14:paraId="338964FD" w14:textId="77777777" w:rsidR="00285939" w:rsidRPr="00285939" w:rsidRDefault="00285939" w:rsidP="00285939">
      <w:pPr>
        <w:tabs>
          <w:tab w:val="left" w:pos="884"/>
          <w:tab w:val="left" w:pos="1418"/>
          <w:tab w:val="left" w:pos="3402"/>
          <w:tab w:val="left" w:pos="4253"/>
        </w:tabs>
        <w:spacing w:after="0" w:line="480" w:lineRule="auto"/>
        <w:ind w:left="4253" w:hanging="1985"/>
        <w:rPr>
          <w:rFonts w:ascii="Calibri" w:eastAsia="Times New Roman" w:hAnsi="Calibri" w:cs="Calibri"/>
          <w:sz w:val="24"/>
          <w:szCs w:val="20"/>
          <w:lang w:val="en-GB"/>
        </w:rPr>
      </w:pPr>
      <w:r w:rsidRPr="00285939">
        <w:rPr>
          <w:rFonts w:ascii="Calibri" w:eastAsia="Times New Roman" w:hAnsi="Calibri" w:cs="Calibri"/>
          <w:b/>
          <w:sz w:val="24"/>
          <w:szCs w:val="20"/>
          <w:lang w:val="en-GB"/>
        </w:rPr>
        <w:tab/>
      </w:r>
      <w:r w:rsidRPr="00285939">
        <w:rPr>
          <w:rFonts w:ascii="Calibri" w:eastAsia="Times New Roman" w:hAnsi="Calibri" w:cs="Calibri"/>
          <w:b/>
          <w:sz w:val="24"/>
          <w:szCs w:val="20"/>
          <w:lang w:val="en-GB"/>
        </w:rPr>
        <w:tab/>
        <w:t>Practitioner</w:t>
      </w:r>
      <w:r w:rsidRPr="00285939">
        <w:rPr>
          <w:rFonts w:ascii="Calibri" w:eastAsia="Times New Roman" w:hAnsi="Calibri" w:cs="Calibri"/>
          <w:sz w:val="24"/>
          <w:szCs w:val="20"/>
          <w:lang w:val="en-GB"/>
        </w:rPr>
        <w:fldChar w:fldCharType="begin"/>
      </w:r>
      <w:r w:rsidRPr="00285939">
        <w:rPr>
          <w:rFonts w:ascii="Calibri" w:eastAsia="Times New Roman" w:hAnsi="Calibri" w:cs="Calibri"/>
          <w:sz w:val="24"/>
          <w:szCs w:val="20"/>
          <w:lang w:val="en-GB"/>
        </w:rPr>
        <w:instrText xml:space="preserve">  </w:instrText>
      </w:r>
      <w:r w:rsidRPr="00285939">
        <w:rPr>
          <w:rFonts w:ascii="Calibri" w:eastAsia="Times New Roman" w:hAnsi="Calibri" w:cs="Calibri"/>
          <w:sz w:val="24"/>
          <w:szCs w:val="20"/>
          <w:lang w:val="en-GB"/>
        </w:rPr>
        <w:fldChar w:fldCharType="end"/>
      </w:r>
    </w:p>
    <w:p w14:paraId="38F418E0" w14:textId="77777777" w:rsidR="00285939" w:rsidRPr="00285939" w:rsidRDefault="00285939" w:rsidP="00285939">
      <w:pPr>
        <w:tabs>
          <w:tab w:val="left" w:pos="884"/>
          <w:tab w:val="left" w:pos="1418"/>
          <w:tab w:val="left" w:pos="2551"/>
          <w:tab w:val="left" w:pos="3662"/>
          <w:tab w:val="left" w:pos="6213"/>
        </w:tabs>
        <w:spacing w:after="0" w:line="276" w:lineRule="auto"/>
        <w:ind w:right="226"/>
        <w:jc w:val="both"/>
        <w:rPr>
          <w:rFonts w:ascii="Calibri" w:eastAsia="Times New Roman" w:hAnsi="Calibri" w:cs="Calibri"/>
          <w:sz w:val="24"/>
          <w:szCs w:val="20"/>
          <w:lang w:val="en-GB"/>
        </w:rPr>
      </w:pPr>
    </w:p>
    <w:p w14:paraId="076B107C" w14:textId="12FD5D46" w:rsidR="00285939" w:rsidRPr="00285939" w:rsidRDefault="00285939" w:rsidP="00285939">
      <w:pPr>
        <w:tabs>
          <w:tab w:val="left" w:pos="884"/>
          <w:tab w:val="left" w:pos="1418"/>
          <w:tab w:val="left" w:pos="2551"/>
          <w:tab w:val="left" w:pos="3662"/>
          <w:tab w:val="left" w:pos="6213"/>
        </w:tabs>
        <w:spacing w:after="0" w:line="276" w:lineRule="auto"/>
        <w:ind w:right="226"/>
        <w:jc w:val="both"/>
        <w:rPr>
          <w:rFonts w:ascii="Calibri" w:eastAsia="Times New Roman" w:hAnsi="Calibri" w:cs="Calibri"/>
          <w:b/>
          <w:bCs/>
          <w:sz w:val="24"/>
          <w:szCs w:val="20"/>
          <w:lang w:val="en-GB"/>
        </w:rPr>
      </w:pPr>
      <w:r w:rsidRPr="00285939">
        <w:rPr>
          <w:rFonts w:ascii="Calibri" w:eastAsia="Times New Roman" w:hAnsi="Calibri" w:cs="Calibri"/>
          <w:b/>
          <w:bCs/>
          <w:sz w:val="24"/>
          <w:szCs w:val="20"/>
          <w:lang w:val="en-GB"/>
        </w:rPr>
        <w:t xml:space="preserve">HEARING held by </w:t>
      </w:r>
      <w:r w:rsidR="00D52ADB">
        <w:rPr>
          <w:rFonts w:ascii="Calibri" w:eastAsia="Times New Roman" w:hAnsi="Calibri" w:cs="Calibri"/>
          <w:b/>
          <w:bCs/>
          <w:sz w:val="24"/>
          <w:szCs w:val="20"/>
          <w:lang w:val="en-GB"/>
        </w:rPr>
        <w:t>audio-visual link</w:t>
      </w:r>
      <w:r w:rsidRPr="00285939">
        <w:rPr>
          <w:rFonts w:ascii="Calibri" w:eastAsia="Times New Roman" w:hAnsi="Calibri" w:cs="Calibri"/>
          <w:b/>
          <w:bCs/>
          <w:sz w:val="24"/>
          <w:szCs w:val="20"/>
          <w:lang w:val="en-GB"/>
        </w:rPr>
        <w:t xml:space="preserve"> on Wednesday, 14 October 2020</w:t>
      </w:r>
    </w:p>
    <w:p w14:paraId="316426FC" w14:textId="77777777" w:rsidR="00285939" w:rsidRPr="00285939" w:rsidRDefault="00285939" w:rsidP="00285939">
      <w:pPr>
        <w:tabs>
          <w:tab w:val="left" w:pos="884"/>
          <w:tab w:val="left" w:pos="1418"/>
          <w:tab w:val="left" w:pos="2551"/>
          <w:tab w:val="left" w:pos="3662"/>
          <w:tab w:val="left" w:pos="6213"/>
        </w:tabs>
        <w:spacing w:after="0" w:line="276" w:lineRule="auto"/>
        <w:ind w:right="226"/>
        <w:jc w:val="both"/>
        <w:rPr>
          <w:rFonts w:ascii="Calibri" w:eastAsia="Times New Roman" w:hAnsi="Calibri" w:cs="Calibri"/>
          <w:sz w:val="24"/>
          <w:szCs w:val="20"/>
          <w:lang w:val="en-GB"/>
        </w:rPr>
      </w:pPr>
    </w:p>
    <w:p w14:paraId="6A386564" w14:textId="411BAB14" w:rsidR="00285939" w:rsidRPr="00285939" w:rsidRDefault="00285939" w:rsidP="00285939">
      <w:pPr>
        <w:tabs>
          <w:tab w:val="left" w:pos="884"/>
          <w:tab w:val="left" w:pos="1418"/>
          <w:tab w:val="left" w:pos="2551"/>
          <w:tab w:val="left" w:pos="3662"/>
          <w:tab w:val="left" w:pos="6213"/>
        </w:tabs>
        <w:spacing w:after="0" w:line="276" w:lineRule="auto"/>
        <w:ind w:right="226"/>
        <w:jc w:val="both"/>
        <w:rPr>
          <w:rFonts w:ascii="Calibri" w:eastAsia="Times New Roman" w:hAnsi="Calibri" w:cs="Calibri"/>
          <w:sz w:val="24"/>
          <w:szCs w:val="20"/>
          <w:lang w:val="en-GB"/>
        </w:rPr>
      </w:pPr>
      <w:r w:rsidRPr="00285939">
        <w:rPr>
          <w:rFonts w:ascii="Calibri" w:eastAsia="Times New Roman" w:hAnsi="Calibri" w:cs="Calibri"/>
          <w:b/>
          <w:sz w:val="24"/>
          <w:szCs w:val="20"/>
          <w:lang w:val="en-GB"/>
        </w:rPr>
        <w:t>MEMBERS</w:t>
      </w:r>
      <w:r w:rsidRPr="00285939">
        <w:rPr>
          <w:rFonts w:ascii="Calibri" w:eastAsia="Times New Roman" w:hAnsi="Calibri" w:cs="Calibri"/>
          <w:b/>
          <w:sz w:val="24"/>
          <w:szCs w:val="20"/>
          <w:lang w:val="en-GB"/>
        </w:rPr>
        <w:tab/>
      </w:r>
      <w:r w:rsidRPr="00285939">
        <w:rPr>
          <w:rFonts w:ascii="Calibri" w:eastAsia="Times New Roman" w:hAnsi="Calibri" w:cs="Calibri"/>
          <w:b/>
          <w:sz w:val="24"/>
          <w:szCs w:val="20"/>
          <w:lang w:val="en-GB"/>
        </w:rPr>
        <w:tab/>
      </w:r>
      <w:r w:rsidR="00BC61D3">
        <w:rPr>
          <w:rFonts w:ascii="Calibri" w:eastAsia="Times New Roman" w:hAnsi="Calibri" w:cs="Calibri"/>
          <w:sz w:val="24"/>
          <w:szCs w:val="20"/>
          <w:lang w:val="en-GB"/>
        </w:rPr>
        <w:t>Ms J</w:t>
      </w:r>
      <w:r w:rsidRPr="00285939">
        <w:rPr>
          <w:rFonts w:ascii="Calibri" w:eastAsia="Times New Roman" w:hAnsi="Calibri" w:cs="Calibri"/>
          <w:sz w:val="24"/>
          <w:szCs w:val="20"/>
          <w:lang w:val="en-GB"/>
        </w:rPr>
        <w:t xml:space="preserve"> </w:t>
      </w:r>
      <w:r w:rsidR="007D0BAB">
        <w:rPr>
          <w:rFonts w:ascii="Calibri" w:eastAsia="Times New Roman" w:hAnsi="Calibri" w:cs="Calibri"/>
          <w:sz w:val="24"/>
          <w:szCs w:val="20"/>
          <w:lang w:val="en-GB"/>
        </w:rPr>
        <w:t xml:space="preserve">C </w:t>
      </w:r>
      <w:r w:rsidRPr="00285939">
        <w:rPr>
          <w:rFonts w:ascii="Calibri" w:eastAsia="Times New Roman" w:hAnsi="Calibri" w:cs="Calibri"/>
          <w:sz w:val="24"/>
          <w:szCs w:val="20"/>
          <w:lang w:val="en-GB"/>
        </w:rPr>
        <w:t>Hughson (Chairperson)</w:t>
      </w:r>
    </w:p>
    <w:p w14:paraId="109690FC" w14:textId="24273F79" w:rsidR="00285939" w:rsidRPr="00285939" w:rsidRDefault="00BC61D3" w:rsidP="00285939">
      <w:pPr>
        <w:tabs>
          <w:tab w:val="left" w:pos="884"/>
          <w:tab w:val="left" w:pos="1418"/>
          <w:tab w:val="left" w:pos="2551"/>
          <w:tab w:val="left" w:pos="3662"/>
          <w:tab w:val="left" w:pos="6213"/>
        </w:tabs>
        <w:spacing w:after="0" w:line="276" w:lineRule="auto"/>
        <w:ind w:left="2551" w:right="226"/>
        <w:jc w:val="both"/>
        <w:rPr>
          <w:rFonts w:ascii="Calibri" w:eastAsia="Times New Roman" w:hAnsi="Calibri" w:cs="Calibri"/>
          <w:sz w:val="24"/>
          <w:szCs w:val="20"/>
          <w:lang w:val="en-GB"/>
        </w:rPr>
      </w:pPr>
      <w:r>
        <w:rPr>
          <w:rFonts w:ascii="Calibri" w:eastAsia="Times New Roman" w:hAnsi="Calibri" w:cs="Calibri"/>
          <w:sz w:val="24"/>
          <w:szCs w:val="20"/>
          <w:lang w:val="en-GB"/>
        </w:rPr>
        <w:t>Ms L Cooper, Mr P McGurk and Ms S</w:t>
      </w:r>
      <w:r w:rsidR="00285939" w:rsidRPr="00285939">
        <w:rPr>
          <w:rFonts w:ascii="Calibri" w:eastAsia="Times New Roman" w:hAnsi="Calibri" w:cs="Calibri"/>
          <w:sz w:val="24"/>
          <w:szCs w:val="20"/>
          <w:lang w:val="en-GB"/>
        </w:rPr>
        <w:t xml:space="preserve"> Jarvis (registered social workers)</w:t>
      </w:r>
    </w:p>
    <w:p w14:paraId="7B44DD59" w14:textId="6BBD0CE2" w:rsidR="00285939" w:rsidRPr="00285939" w:rsidRDefault="00BC61D3" w:rsidP="00285939">
      <w:pPr>
        <w:tabs>
          <w:tab w:val="left" w:pos="884"/>
          <w:tab w:val="left" w:pos="1418"/>
          <w:tab w:val="left" w:pos="2551"/>
          <w:tab w:val="left" w:pos="3662"/>
          <w:tab w:val="left" w:pos="6213"/>
        </w:tabs>
        <w:spacing w:after="0" w:line="276" w:lineRule="auto"/>
        <w:ind w:left="2551" w:right="226"/>
        <w:jc w:val="both"/>
        <w:rPr>
          <w:rFonts w:ascii="Calibri" w:eastAsia="Times New Roman" w:hAnsi="Calibri" w:cs="Calibri"/>
          <w:sz w:val="24"/>
          <w:szCs w:val="20"/>
          <w:lang w:val="en-GB"/>
        </w:rPr>
      </w:pPr>
      <w:r>
        <w:rPr>
          <w:rFonts w:ascii="Calibri" w:eastAsia="Times New Roman" w:hAnsi="Calibri" w:cs="Calibri"/>
          <w:sz w:val="24"/>
          <w:szCs w:val="20"/>
          <w:lang w:val="en-GB"/>
        </w:rPr>
        <w:t xml:space="preserve">Mr B </w:t>
      </w:r>
      <w:r w:rsidR="00285939" w:rsidRPr="00285939">
        <w:rPr>
          <w:rFonts w:ascii="Calibri" w:eastAsia="Times New Roman" w:hAnsi="Calibri" w:cs="Calibri"/>
          <w:sz w:val="24"/>
          <w:szCs w:val="20"/>
          <w:lang w:val="en-GB"/>
        </w:rPr>
        <w:t>Marra (layperson)</w:t>
      </w:r>
    </w:p>
    <w:p w14:paraId="1BEC9C51" w14:textId="77777777" w:rsidR="00285939" w:rsidRPr="00285939" w:rsidRDefault="00285939" w:rsidP="00285939">
      <w:pPr>
        <w:tabs>
          <w:tab w:val="left" w:pos="884"/>
          <w:tab w:val="left" w:pos="1418"/>
          <w:tab w:val="left" w:pos="2551"/>
          <w:tab w:val="left" w:pos="3662"/>
          <w:tab w:val="left" w:pos="6213"/>
        </w:tabs>
        <w:spacing w:after="0" w:line="276" w:lineRule="auto"/>
        <w:ind w:left="2551" w:right="226"/>
        <w:jc w:val="both"/>
        <w:rPr>
          <w:rFonts w:ascii="Calibri" w:eastAsia="Times New Roman" w:hAnsi="Calibri" w:cs="Calibri"/>
          <w:sz w:val="24"/>
          <w:szCs w:val="20"/>
          <w:lang w:val="en-GB"/>
        </w:rPr>
      </w:pPr>
    </w:p>
    <w:p w14:paraId="5F358200" w14:textId="77777777" w:rsidR="00285939" w:rsidRPr="00285939" w:rsidRDefault="00285939" w:rsidP="00285939">
      <w:pPr>
        <w:tabs>
          <w:tab w:val="left" w:pos="884"/>
          <w:tab w:val="left" w:pos="1418"/>
          <w:tab w:val="left" w:pos="2551"/>
          <w:tab w:val="left" w:pos="3662"/>
          <w:tab w:val="left" w:pos="6213"/>
        </w:tabs>
        <w:spacing w:after="0" w:line="276" w:lineRule="auto"/>
        <w:ind w:left="2551" w:right="226"/>
        <w:jc w:val="both"/>
        <w:rPr>
          <w:rFonts w:ascii="Calibri" w:eastAsia="Times New Roman" w:hAnsi="Calibri" w:cs="Calibri"/>
          <w:sz w:val="24"/>
          <w:szCs w:val="20"/>
          <w:lang w:val="en-GB"/>
        </w:rPr>
      </w:pPr>
      <w:r w:rsidRPr="00285939">
        <w:rPr>
          <w:rFonts w:ascii="Calibri" w:eastAsia="Times New Roman" w:hAnsi="Calibri" w:cs="Calibri"/>
          <w:sz w:val="24"/>
          <w:szCs w:val="20"/>
          <w:lang w:val="en-GB"/>
        </w:rPr>
        <w:t>Ms G Fraser (Hearing Officer)</w:t>
      </w:r>
    </w:p>
    <w:p w14:paraId="22C92B25" w14:textId="77777777" w:rsidR="00285939" w:rsidRPr="00285939" w:rsidRDefault="00285939" w:rsidP="00285939">
      <w:pPr>
        <w:tabs>
          <w:tab w:val="left" w:pos="884"/>
          <w:tab w:val="left" w:pos="1418"/>
          <w:tab w:val="left" w:pos="2551"/>
          <w:tab w:val="left" w:pos="3662"/>
          <w:tab w:val="left" w:pos="6213"/>
        </w:tabs>
        <w:spacing w:after="0" w:line="480" w:lineRule="auto"/>
        <w:ind w:right="226"/>
        <w:jc w:val="both"/>
        <w:rPr>
          <w:rFonts w:ascii="Calibri" w:eastAsia="Times New Roman" w:hAnsi="Calibri" w:cs="Calibri"/>
          <w:sz w:val="24"/>
          <w:szCs w:val="20"/>
          <w:lang w:val="en-GB"/>
        </w:rPr>
      </w:pPr>
    </w:p>
    <w:p w14:paraId="1A88E88F" w14:textId="0ADF70CC" w:rsidR="00285939" w:rsidRDefault="00285939" w:rsidP="00285939">
      <w:pPr>
        <w:tabs>
          <w:tab w:val="left" w:pos="884"/>
          <w:tab w:val="left" w:pos="1418"/>
          <w:tab w:val="left" w:pos="2551"/>
          <w:tab w:val="left" w:pos="3662"/>
          <w:tab w:val="left" w:pos="6213"/>
        </w:tabs>
        <w:spacing w:after="0" w:line="276" w:lineRule="auto"/>
        <w:ind w:right="226"/>
        <w:jc w:val="both"/>
        <w:rPr>
          <w:rFonts w:ascii="Calibri" w:eastAsia="Times New Roman" w:hAnsi="Calibri" w:cs="Calibri"/>
          <w:sz w:val="24"/>
          <w:szCs w:val="20"/>
          <w:lang w:val="en-GB"/>
        </w:rPr>
      </w:pPr>
      <w:r w:rsidRPr="00285939">
        <w:rPr>
          <w:rFonts w:ascii="Calibri" w:eastAsia="Times New Roman" w:hAnsi="Calibri" w:cs="Calibri"/>
          <w:b/>
          <w:bCs/>
          <w:sz w:val="24"/>
          <w:szCs w:val="20"/>
          <w:lang w:val="en-GB"/>
        </w:rPr>
        <w:t>APPEARANCES</w:t>
      </w:r>
      <w:r w:rsidRPr="00285939">
        <w:rPr>
          <w:rFonts w:ascii="Calibri" w:eastAsia="Times New Roman" w:hAnsi="Calibri" w:cs="Calibri"/>
          <w:b/>
          <w:bCs/>
          <w:sz w:val="24"/>
          <w:szCs w:val="20"/>
          <w:lang w:val="en-GB"/>
        </w:rPr>
        <w:tab/>
      </w:r>
      <w:r w:rsidR="00BC61D3">
        <w:rPr>
          <w:rFonts w:ascii="Calibri" w:eastAsia="Times New Roman" w:hAnsi="Calibri" w:cs="Calibri"/>
          <w:sz w:val="24"/>
          <w:szCs w:val="20"/>
          <w:lang w:val="en-GB"/>
        </w:rPr>
        <w:t>Ms E Fitzh</w:t>
      </w:r>
      <w:r w:rsidRPr="00285939">
        <w:rPr>
          <w:rFonts w:ascii="Calibri" w:eastAsia="Times New Roman" w:hAnsi="Calibri" w:cs="Calibri"/>
          <w:sz w:val="24"/>
          <w:szCs w:val="20"/>
          <w:lang w:val="en-GB"/>
        </w:rPr>
        <w:t>erbert for the Professional Conduct Committee</w:t>
      </w:r>
    </w:p>
    <w:p w14:paraId="38F6F643" w14:textId="77777777" w:rsidR="00BC61D3" w:rsidRPr="00285939" w:rsidRDefault="00BC61D3" w:rsidP="00285939">
      <w:pPr>
        <w:tabs>
          <w:tab w:val="left" w:pos="884"/>
          <w:tab w:val="left" w:pos="1418"/>
          <w:tab w:val="left" w:pos="2551"/>
          <w:tab w:val="left" w:pos="3662"/>
          <w:tab w:val="left" w:pos="6213"/>
        </w:tabs>
        <w:spacing w:after="0" w:line="276" w:lineRule="auto"/>
        <w:ind w:right="226"/>
        <w:jc w:val="both"/>
        <w:rPr>
          <w:rFonts w:ascii="Calibri" w:eastAsia="Times New Roman" w:hAnsi="Calibri" w:cs="Calibri"/>
          <w:sz w:val="24"/>
          <w:szCs w:val="20"/>
          <w:lang w:val="en-GB"/>
        </w:rPr>
      </w:pPr>
    </w:p>
    <w:p w14:paraId="114E7FAF" w14:textId="2688286A" w:rsidR="00285939" w:rsidRPr="00285939" w:rsidRDefault="00285939" w:rsidP="00285939">
      <w:pPr>
        <w:tabs>
          <w:tab w:val="left" w:pos="884"/>
          <w:tab w:val="left" w:pos="1418"/>
          <w:tab w:val="left" w:pos="2551"/>
          <w:tab w:val="left" w:pos="3662"/>
          <w:tab w:val="left" w:pos="6213"/>
        </w:tabs>
        <w:spacing w:after="0" w:line="276" w:lineRule="auto"/>
        <w:ind w:right="226"/>
        <w:jc w:val="both"/>
        <w:rPr>
          <w:rFonts w:ascii="Calibri" w:eastAsia="Times New Roman" w:hAnsi="Calibri" w:cs="Calibri"/>
          <w:sz w:val="24"/>
          <w:szCs w:val="20"/>
          <w:lang w:val="en-GB"/>
        </w:rPr>
      </w:pPr>
      <w:r w:rsidRPr="00285939">
        <w:rPr>
          <w:rFonts w:ascii="Calibri" w:eastAsia="Times New Roman" w:hAnsi="Calibri" w:cs="Calibri"/>
          <w:sz w:val="24"/>
          <w:szCs w:val="20"/>
          <w:lang w:val="en-GB"/>
        </w:rPr>
        <w:tab/>
      </w:r>
      <w:r w:rsidRPr="00285939">
        <w:rPr>
          <w:rFonts w:ascii="Calibri" w:eastAsia="Times New Roman" w:hAnsi="Calibri" w:cs="Calibri"/>
          <w:sz w:val="24"/>
          <w:szCs w:val="20"/>
          <w:lang w:val="en-GB"/>
        </w:rPr>
        <w:tab/>
      </w:r>
      <w:r w:rsidRPr="00285939">
        <w:rPr>
          <w:rFonts w:ascii="Calibri" w:eastAsia="Times New Roman" w:hAnsi="Calibri" w:cs="Calibri"/>
          <w:sz w:val="24"/>
          <w:szCs w:val="20"/>
          <w:lang w:val="en-GB"/>
        </w:rPr>
        <w:tab/>
      </w:r>
      <w:r w:rsidR="000428D6">
        <w:rPr>
          <w:rFonts w:ascii="Calibri" w:eastAsia="Times New Roman" w:hAnsi="Calibri" w:cs="Calibri"/>
          <w:sz w:val="24"/>
          <w:szCs w:val="20"/>
          <w:lang w:val="en-GB"/>
        </w:rPr>
        <w:t>(</w:t>
      </w:r>
      <w:r w:rsidR="00DD4936">
        <w:rPr>
          <w:rFonts w:ascii="Calibri" w:eastAsia="Times New Roman" w:hAnsi="Calibri" w:cs="Calibri"/>
          <w:sz w:val="24"/>
          <w:szCs w:val="20"/>
          <w:lang w:val="en-GB"/>
        </w:rPr>
        <w:t>No appearance by or</w:t>
      </w:r>
      <w:r w:rsidR="000428D6">
        <w:rPr>
          <w:rFonts w:ascii="Calibri" w:eastAsia="Times New Roman" w:hAnsi="Calibri" w:cs="Calibri"/>
          <w:sz w:val="24"/>
          <w:szCs w:val="20"/>
          <w:lang w:val="en-GB"/>
        </w:rPr>
        <w:t xml:space="preserve"> for the practitioner)</w:t>
      </w:r>
    </w:p>
    <w:p w14:paraId="66379D4E" w14:textId="77777777" w:rsidR="009221F6" w:rsidRDefault="009221F6" w:rsidP="00285939">
      <w:pPr>
        <w:tabs>
          <w:tab w:val="left" w:pos="884"/>
          <w:tab w:val="left" w:pos="1418"/>
          <w:tab w:val="left" w:pos="2551"/>
          <w:tab w:val="left" w:pos="3662"/>
          <w:tab w:val="left" w:pos="6213"/>
        </w:tabs>
        <w:spacing w:after="0" w:line="276" w:lineRule="auto"/>
        <w:ind w:right="226"/>
        <w:jc w:val="both"/>
        <w:rPr>
          <w:rFonts w:ascii="Calibri" w:eastAsia="Times New Roman" w:hAnsi="Calibri" w:cs="Calibri"/>
          <w:sz w:val="24"/>
          <w:szCs w:val="20"/>
          <w:lang w:val="en-GB"/>
        </w:rPr>
        <w:sectPr w:rsidR="009221F6">
          <w:headerReference w:type="default" r:id="rId8"/>
          <w:footerReference w:type="default" r:id="rId9"/>
          <w:pgSz w:w="11899" w:h="16838"/>
          <w:pgMar w:top="1440" w:right="1134" w:bottom="357" w:left="1418" w:header="720" w:footer="0" w:gutter="0"/>
          <w:cols w:space="720"/>
        </w:sectPr>
      </w:pPr>
    </w:p>
    <w:p w14:paraId="1A7D1848" w14:textId="77777777" w:rsidR="00285939" w:rsidRPr="00285939" w:rsidRDefault="00285939" w:rsidP="00285939">
      <w:pPr>
        <w:tabs>
          <w:tab w:val="left" w:pos="2552"/>
        </w:tabs>
        <w:spacing w:after="0" w:line="240" w:lineRule="auto"/>
        <w:rPr>
          <w:rFonts w:ascii="Calibri" w:eastAsia="Times New Roman" w:hAnsi="Calibri" w:cs="Calibri"/>
          <w:b/>
          <w:sz w:val="24"/>
          <w:szCs w:val="20"/>
          <w:lang w:val="en-GB"/>
        </w:rPr>
      </w:pPr>
      <w:r w:rsidRPr="00285939">
        <w:rPr>
          <w:rFonts w:ascii="Calibri" w:eastAsia="Times New Roman" w:hAnsi="Calibri" w:cs="Calibri"/>
          <w:b/>
          <w:sz w:val="24"/>
          <w:szCs w:val="20"/>
          <w:lang w:val="en-GB"/>
        </w:rPr>
        <w:lastRenderedPageBreak/>
        <w:t>Introduction</w:t>
      </w:r>
    </w:p>
    <w:p w14:paraId="7ED7D1C3" w14:textId="77777777" w:rsidR="00285939" w:rsidRPr="00285939" w:rsidRDefault="00285939" w:rsidP="00E5334C">
      <w:pPr>
        <w:tabs>
          <w:tab w:val="left" w:pos="709"/>
        </w:tabs>
        <w:spacing w:after="0" w:line="240" w:lineRule="auto"/>
        <w:rPr>
          <w:rFonts w:ascii="Calibri" w:eastAsia="Times New Roman" w:hAnsi="Calibri" w:cs="Calibri"/>
          <w:b/>
          <w:sz w:val="24"/>
          <w:szCs w:val="20"/>
          <w:lang w:val="en-GB"/>
        </w:rPr>
      </w:pPr>
    </w:p>
    <w:p w14:paraId="38971482" w14:textId="2D146BA1" w:rsidR="00285939" w:rsidRPr="00285939" w:rsidRDefault="00440AD0" w:rsidP="00285939">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Pr>
          <w:rFonts w:ascii="Calibri" w:eastAsia="Times New Roman" w:hAnsi="Calibri" w:cs="Calibri"/>
          <w:sz w:val="24"/>
          <w:szCs w:val="20"/>
          <w:lang w:val="en-GB"/>
        </w:rPr>
        <w:t>The practitioner</w:t>
      </w:r>
      <w:r w:rsidR="00285939" w:rsidRPr="00285939">
        <w:rPr>
          <w:rFonts w:ascii="Calibri" w:eastAsia="Times New Roman" w:hAnsi="Calibri" w:cs="Calibri"/>
          <w:sz w:val="24"/>
          <w:szCs w:val="20"/>
          <w:lang w:val="en-GB"/>
        </w:rPr>
        <w:t xml:space="preserve"> is a</w:t>
      </w:r>
      <w:r w:rsidR="002E342F">
        <w:rPr>
          <w:rFonts w:ascii="Calibri" w:eastAsia="Times New Roman" w:hAnsi="Calibri" w:cs="Calibri"/>
          <w:sz w:val="24"/>
          <w:szCs w:val="20"/>
          <w:lang w:val="en-GB"/>
        </w:rPr>
        <w:t xml:space="preserve"> provisionally</w:t>
      </w:r>
      <w:r w:rsidR="00285939" w:rsidRPr="00285939">
        <w:rPr>
          <w:rFonts w:ascii="Calibri" w:eastAsia="Times New Roman" w:hAnsi="Calibri" w:cs="Calibri"/>
          <w:sz w:val="24"/>
          <w:szCs w:val="20"/>
          <w:lang w:val="en-GB"/>
        </w:rPr>
        <w:t xml:space="preserve"> registered social worker who was registered with the Social Workers Registration Board on </w:t>
      </w:r>
      <w:r w:rsidR="00F90249">
        <w:rPr>
          <w:rFonts w:ascii="Calibri" w:eastAsia="Times New Roman" w:hAnsi="Calibri" w:cs="Calibri"/>
          <w:sz w:val="24"/>
          <w:szCs w:val="20"/>
          <w:lang w:val="en-GB"/>
        </w:rPr>
        <w:t>[ ]</w:t>
      </w:r>
      <w:r w:rsidR="00285939" w:rsidRPr="00285939">
        <w:rPr>
          <w:rFonts w:ascii="Calibri" w:eastAsia="Times New Roman" w:hAnsi="Calibri" w:cs="Calibri"/>
          <w:sz w:val="24"/>
          <w:szCs w:val="20"/>
          <w:lang w:val="en-GB"/>
        </w:rPr>
        <w:t xml:space="preserve"> 201</w:t>
      </w:r>
      <w:r w:rsidR="006C004B">
        <w:rPr>
          <w:rFonts w:ascii="Calibri" w:eastAsia="Times New Roman" w:hAnsi="Calibri" w:cs="Calibri"/>
          <w:sz w:val="24"/>
          <w:szCs w:val="20"/>
          <w:lang w:val="en-GB"/>
        </w:rPr>
        <w:t>8, having completed a Bachelor of Social Practice in Social Work at Unitec in 2017</w:t>
      </w:r>
      <w:r w:rsidR="00285939" w:rsidRPr="00285939">
        <w:rPr>
          <w:rFonts w:ascii="Calibri" w:eastAsia="Times New Roman" w:hAnsi="Calibri" w:cs="Calibri"/>
          <w:sz w:val="24"/>
          <w:szCs w:val="20"/>
          <w:lang w:val="en-GB"/>
        </w:rPr>
        <w:t>.</w:t>
      </w:r>
      <w:r w:rsidR="00285939" w:rsidRPr="00285939">
        <w:rPr>
          <w:rFonts w:ascii="Calibri" w:eastAsia="Times New Roman" w:hAnsi="Calibri" w:cs="Calibri"/>
          <w:sz w:val="24"/>
          <w:szCs w:val="20"/>
          <w:vertAlign w:val="superscript"/>
          <w:lang w:val="en-GB"/>
        </w:rPr>
        <w:footnoteReference w:id="1"/>
      </w:r>
      <w:r w:rsidR="00285939" w:rsidRPr="00285939">
        <w:rPr>
          <w:rFonts w:ascii="Calibri" w:eastAsia="Times New Roman" w:hAnsi="Calibri" w:cs="Calibri"/>
          <w:sz w:val="24"/>
          <w:szCs w:val="20"/>
          <w:lang w:val="en-GB"/>
        </w:rPr>
        <w:t xml:space="preserve"> </w:t>
      </w:r>
      <w:r w:rsidR="00BB2C5A">
        <w:rPr>
          <w:rFonts w:ascii="Calibri" w:eastAsia="Times New Roman" w:hAnsi="Calibri" w:cs="Calibri"/>
          <w:sz w:val="24"/>
          <w:szCs w:val="20"/>
          <w:lang w:val="en-GB"/>
        </w:rPr>
        <w:t xml:space="preserve">At the time of the conduct the Tribunal has reviewed </w:t>
      </w:r>
      <w:r>
        <w:rPr>
          <w:rFonts w:ascii="Calibri" w:eastAsia="Times New Roman" w:hAnsi="Calibri" w:cs="Calibri"/>
          <w:sz w:val="24"/>
          <w:szCs w:val="20"/>
          <w:lang w:val="en-GB"/>
        </w:rPr>
        <w:t>the practitioner</w:t>
      </w:r>
      <w:r w:rsidR="00BB2C5A">
        <w:rPr>
          <w:rFonts w:ascii="Calibri" w:eastAsia="Times New Roman" w:hAnsi="Calibri" w:cs="Calibri"/>
          <w:sz w:val="24"/>
          <w:szCs w:val="20"/>
          <w:lang w:val="en-GB"/>
        </w:rPr>
        <w:t xml:space="preserve"> was employed by Oranga Tamariki as a social worker.</w:t>
      </w:r>
    </w:p>
    <w:p w14:paraId="16FAA402" w14:textId="2B09B9DA" w:rsidR="00285939" w:rsidRPr="00285939" w:rsidRDefault="00285939" w:rsidP="00285939">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sidRPr="00285939">
        <w:rPr>
          <w:rFonts w:ascii="Calibri" w:eastAsia="Times New Roman" w:hAnsi="Calibri" w:cs="Calibri"/>
          <w:sz w:val="24"/>
          <w:szCs w:val="20"/>
          <w:lang w:val="en-GB"/>
        </w:rPr>
        <w:t xml:space="preserve">On </w:t>
      </w:r>
      <w:r w:rsidR="00FF433C">
        <w:rPr>
          <w:rFonts w:ascii="Calibri" w:eastAsia="Times New Roman" w:hAnsi="Calibri" w:cs="Calibri"/>
          <w:sz w:val="24"/>
          <w:szCs w:val="20"/>
          <w:lang w:val="en-GB"/>
        </w:rPr>
        <w:t>4 October 2019</w:t>
      </w:r>
      <w:r w:rsidRPr="00285939">
        <w:rPr>
          <w:rFonts w:ascii="Calibri" w:eastAsia="Times New Roman" w:hAnsi="Calibri" w:cs="Calibri"/>
          <w:sz w:val="24"/>
          <w:szCs w:val="20"/>
          <w:lang w:val="en-GB"/>
        </w:rPr>
        <w:t xml:space="preserve"> </w:t>
      </w:r>
      <w:r w:rsidR="00440AD0">
        <w:rPr>
          <w:rFonts w:ascii="Calibri" w:eastAsia="Times New Roman" w:hAnsi="Calibri" w:cs="Calibri"/>
          <w:sz w:val="24"/>
          <w:szCs w:val="20"/>
          <w:lang w:val="en-GB"/>
        </w:rPr>
        <w:t xml:space="preserve">the practitioner </w:t>
      </w:r>
      <w:r w:rsidRPr="00285939">
        <w:rPr>
          <w:rFonts w:ascii="Calibri" w:eastAsia="Times New Roman" w:hAnsi="Calibri" w:cs="Calibri"/>
          <w:sz w:val="24"/>
          <w:szCs w:val="20"/>
          <w:lang w:val="en-GB"/>
        </w:rPr>
        <w:t xml:space="preserve">was convicted of </w:t>
      </w:r>
      <w:r w:rsidR="00D6436E">
        <w:rPr>
          <w:rFonts w:ascii="Calibri" w:eastAsia="Times New Roman" w:hAnsi="Calibri" w:cs="Calibri"/>
          <w:sz w:val="24"/>
          <w:szCs w:val="20"/>
          <w:lang w:val="en-GB"/>
        </w:rPr>
        <w:t>s</w:t>
      </w:r>
      <w:r w:rsidR="00CA7F2D">
        <w:rPr>
          <w:rFonts w:ascii="Calibri" w:eastAsia="Times New Roman" w:hAnsi="Calibri" w:cs="Calibri"/>
          <w:sz w:val="24"/>
          <w:szCs w:val="20"/>
          <w:lang w:val="en-GB"/>
        </w:rPr>
        <w:t>ix</w:t>
      </w:r>
      <w:r w:rsidR="00157B4F">
        <w:rPr>
          <w:rFonts w:ascii="Calibri" w:eastAsia="Times New Roman" w:hAnsi="Calibri" w:cs="Calibri"/>
          <w:sz w:val="24"/>
          <w:szCs w:val="20"/>
          <w:lang w:val="en-GB"/>
        </w:rPr>
        <w:t xml:space="preserve"> </w:t>
      </w:r>
      <w:r w:rsidRPr="00285939">
        <w:rPr>
          <w:rFonts w:ascii="Calibri" w:eastAsia="Times New Roman" w:hAnsi="Calibri" w:cs="Calibri"/>
          <w:sz w:val="24"/>
          <w:szCs w:val="20"/>
          <w:lang w:val="en-GB"/>
        </w:rPr>
        <w:t xml:space="preserve">criminal charges in the District Court at </w:t>
      </w:r>
      <w:r w:rsidR="00503BB4">
        <w:rPr>
          <w:rFonts w:ascii="Calibri" w:eastAsia="Times New Roman" w:hAnsi="Calibri" w:cs="Calibri"/>
          <w:sz w:val="24"/>
          <w:szCs w:val="20"/>
          <w:lang w:val="en-GB"/>
        </w:rPr>
        <w:t>Auckland</w:t>
      </w:r>
      <w:r w:rsidR="007C036A">
        <w:rPr>
          <w:rFonts w:ascii="Calibri" w:eastAsia="Times New Roman" w:hAnsi="Calibri" w:cs="Calibri"/>
          <w:sz w:val="24"/>
          <w:szCs w:val="20"/>
          <w:lang w:val="en-GB"/>
        </w:rPr>
        <w:t xml:space="preserve"> – I </w:t>
      </w:r>
      <w:r w:rsidR="005F7EFA">
        <w:rPr>
          <w:rFonts w:ascii="Calibri" w:eastAsia="Times New Roman" w:hAnsi="Calibri" w:cs="Calibri"/>
          <w:sz w:val="24"/>
          <w:szCs w:val="20"/>
          <w:lang w:val="en-GB"/>
        </w:rPr>
        <w:t xml:space="preserve">Te </w:t>
      </w:r>
      <w:proofErr w:type="spellStart"/>
      <w:r w:rsidR="005F7EFA">
        <w:rPr>
          <w:rFonts w:ascii="Calibri" w:eastAsia="Times New Roman" w:hAnsi="Calibri" w:cs="Calibri"/>
          <w:sz w:val="24"/>
          <w:szCs w:val="20"/>
          <w:lang w:val="en-GB"/>
        </w:rPr>
        <w:t>Kōti</w:t>
      </w:r>
      <w:proofErr w:type="spellEnd"/>
      <w:r w:rsidR="005F7EFA">
        <w:rPr>
          <w:rFonts w:ascii="Calibri" w:eastAsia="Times New Roman" w:hAnsi="Calibri" w:cs="Calibri"/>
          <w:sz w:val="24"/>
          <w:szCs w:val="20"/>
          <w:lang w:val="en-GB"/>
        </w:rPr>
        <w:t>-ā-</w:t>
      </w:r>
      <w:proofErr w:type="spellStart"/>
      <w:r w:rsidR="005F7EFA">
        <w:rPr>
          <w:rFonts w:ascii="Calibri" w:eastAsia="Times New Roman" w:hAnsi="Calibri" w:cs="Calibri"/>
          <w:sz w:val="24"/>
          <w:szCs w:val="20"/>
          <w:lang w:val="en-GB"/>
        </w:rPr>
        <w:t>Rohe</w:t>
      </w:r>
      <w:proofErr w:type="spellEnd"/>
      <w:r w:rsidR="005F7EFA">
        <w:rPr>
          <w:rFonts w:ascii="Calibri" w:eastAsia="Times New Roman" w:hAnsi="Calibri" w:cs="Calibri"/>
          <w:sz w:val="24"/>
          <w:szCs w:val="20"/>
          <w:lang w:val="en-GB"/>
        </w:rPr>
        <w:t xml:space="preserve"> Ki </w:t>
      </w:r>
      <w:proofErr w:type="spellStart"/>
      <w:r w:rsidR="005F7EFA">
        <w:rPr>
          <w:rFonts w:ascii="Calibri" w:eastAsia="Times New Roman" w:hAnsi="Calibri" w:cs="Calibri"/>
          <w:sz w:val="24"/>
          <w:szCs w:val="20"/>
          <w:lang w:val="en-GB"/>
        </w:rPr>
        <w:t>Tāmaki</w:t>
      </w:r>
      <w:proofErr w:type="spellEnd"/>
      <w:r w:rsidR="005F7EFA">
        <w:rPr>
          <w:rFonts w:ascii="Calibri" w:eastAsia="Times New Roman" w:hAnsi="Calibri" w:cs="Calibri"/>
          <w:sz w:val="24"/>
          <w:szCs w:val="20"/>
          <w:lang w:val="en-GB"/>
        </w:rPr>
        <w:t xml:space="preserve"> Makaurau</w:t>
      </w:r>
      <w:r w:rsidR="007C036A">
        <w:rPr>
          <w:rStyle w:val="FootnoteReference"/>
          <w:rFonts w:ascii="Calibri" w:eastAsia="Times New Roman" w:hAnsi="Calibri" w:cs="Calibri"/>
          <w:sz w:val="24"/>
          <w:szCs w:val="20"/>
          <w:lang w:val="en-GB"/>
        </w:rPr>
        <w:footnoteReference w:id="2"/>
      </w:r>
      <w:r w:rsidRPr="00285939">
        <w:rPr>
          <w:rFonts w:ascii="Calibri" w:eastAsia="Times New Roman" w:hAnsi="Calibri" w:cs="Calibri"/>
          <w:sz w:val="24"/>
          <w:szCs w:val="20"/>
          <w:lang w:val="en-GB"/>
        </w:rPr>
        <w:t>.</w:t>
      </w:r>
    </w:p>
    <w:p w14:paraId="28729FF8" w14:textId="17D11D71" w:rsidR="00285939" w:rsidRPr="00285939" w:rsidRDefault="00285939" w:rsidP="00285939">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sidRPr="00285939">
        <w:rPr>
          <w:rFonts w:ascii="Calibri" w:eastAsia="Times New Roman" w:hAnsi="Calibri" w:cs="Calibri"/>
          <w:sz w:val="24"/>
          <w:szCs w:val="20"/>
          <w:lang w:val="en-GB"/>
        </w:rPr>
        <w:t xml:space="preserve">These were charges of offences against </w:t>
      </w:r>
      <w:r w:rsidR="00503BB4">
        <w:rPr>
          <w:rFonts w:ascii="Calibri" w:eastAsia="Times New Roman" w:hAnsi="Calibri" w:cs="Calibri"/>
          <w:sz w:val="24"/>
          <w:szCs w:val="20"/>
          <w:lang w:val="en-GB"/>
        </w:rPr>
        <w:t>section</w:t>
      </w:r>
      <w:r w:rsidR="00576326">
        <w:rPr>
          <w:rFonts w:ascii="Calibri" w:eastAsia="Times New Roman" w:hAnsi="Calibri" w:cs="Calibri"/>
          <w:sz w:val="24"/>
          <w:szCs w:val="20"/>
          <w:lang w:val="en-GB"/>
        </w:rPr>
        <w:t>s</w:t>
      </w:r>
      <w:r w:rsidR="00503BB4">
        <w:rPr>
          <w:rFonts w:ascii="Calibri" w:eastAsia="Times New Roman" w:hAnsi="Calibri" w:cs="Calibri"/>
          <w:sz w:val="24"/>
          <w:szCs w:val="20"/>
          <w:lang w:val="en-GB"/>
        </w:rPr>
        <w:t xml:space="preserve"> 117(e)</w:t>
      </w:r>
      <w:r w:rsidR="00790F80">
        <w:rPr>
          <w:rFonts w:ascii="Calibri" w:eastAsia="Times New Roman" w:hAnsi="Calibri" w:cs="Calibri"/>
          <w:sz w:val="24"/>
          <w:szCs w:val="20"/>
          <w:lang w:val="en-GB"/>
        </w:rPr>
        <w:t xml:space="preserve">, </w:t>
      </w:r>
      <w:r w:rsidR="00576326">
        <w:rPr>
          <w:rFonts w:ascii="Calibri" w:eastAsia="Times New Roman" w:hAnsi="Calibri" w:cs="Calibri"/>
          <w:sz w:val="24"/>
          <w:szCs w:val="20"/>
          <w:lang w:val="en-GB"/>
        </w:rPr>
        <w:t>124A</w:t>
      </w:r>
      <w:r w:rsidR="00790F80">
        <w:rPr>
          <w:rFonts w:ascii="Calibri" w:eastAsia="Times New Roman" w:hAnsi="Calibri" w:cs="Calibri"/>
          <w:sz w:val="24"/>
          <w:szCs w:val="20"/>
          <w:lang w:val="en-GB"/>
        </w:rPr>
        <w:t xml:space="preserve">, 131B(1) and 134(3) and </w:t>
      </w:r>
      <w:r w:rsidR="00503BB4">
        <w:rPr>
          <w:rFonts w:ascii="Calibri" w:eastAsia="Times New Roman" w:hAnsi="Calibri" w:cs="Calibri"/>
          <w:sz w:val="24"/>
          <w:szCs w:val="20"/>
          <w:lang w:val="en-GB"/>
        </w:rPr>
        <w:t>of the Crimes Act 1961,</w:t>
      </w:r>
      <w:r w:rsidR="00790F80">
        <w:rPr>
          <w:rFonts w:ascii="Calibri" w:eastAsia="Times New Roman" w:hAnsi="Calibri" w:cs="Calibri"/>
          <w:sz w:val="24"/>
          <w:szCs w:val="20"/>
          <w:lang w:val="en-GB"/>
        </w:rPr>
        <w:t xml:space="preserve"> and section </w:t>
      </w:r>
      <w:r w:rsidR="00AA591D">
        <w:rPr>
          <w:rFonts w:ascii="Calibri" w:eastAsia="Times New Roman" w:hAnsi="Calibri" w:cs="Calibri"/>
          <w:sz w:val="24"/>
          <w:szCs w:val="20"/>
          <w:lang w:val="en-GB"/>
        </w:rPr>
        <w:t xml:space="preserve">6(1)(d) </w:t>
      </w:r>
      <w:r w:rsidRPr="00285939">
        <w:rPr>
          <w:rFonts w:ascii="Calibri" w:eastAsia="Times New Roman" w:hAnsi="Calibri" w:cs="Calibri"/>
          <w:sz w:val="24"/>
          <w:szCs w:val="20"/>
          <w:lang w:val="en-GB"/>
        </w:rPr>
        <w:t xml:space="preserve">of the Misuse of Drugs Act 1975. On the charges </w:t>
      </w:r>
      <w:r w:rsidR="00B74750">
        <w:rPr>
          <w:rFonts w:ascii="Calibri" w:eastAsia="Times New Roman" w:hAnsi="Calibri" w:cs="Calibri"/>
          <w:sz w:val="24"/>
          <w:szCs w:val="20"/>
          <w:lang w:val="en-GB"/>
        </w:rPr>
        <w:t>the practitioner</w:t>
      </w:r>
      <w:r w:rsidR="00AA591D">
        <w:rPr>
          <w:rFonts w:ascii="Calibri" w:eastAsia="Times New Roman" w:hAnsi="Calibri" w:cs="Calibri"/>
          <w:sz w:val="24"/>
          <w:szCs w:val="20"/>
          <w:lang w:val="en-GB"/>
        </w:rPr>
        <w:t xml:space="preserve"> </w:t>
      </w:r>
      <w:r w:rsidR="00134264">
        <w:rPr>
          <w:rFonts w:ascii="Calibri" w:eastAsia="Times New Roman" w:hAnsi="Calibri" w:cs="Calibri"/>
          <w:sz w:val="24"/>
          <w:szCs w:val="20"/>
          <w:lang w:val="en-GB"/>
        </w:rPr>
        <w:t xml:space="preserve">was sentenced to home detention for ten months </w:t>
      </w:r>
      <w:r w:rsidR="0026089C">
        <w:rPr>
          <w:rFonts w:ascii="Calibri" w:eastAsia="Times New Roman" w:hAnsi="Calibri" w:cs="Calibri"/>
          <w:sz w:val="24"/>
          <w:szCs w:val="20"/>
          <w:lang w:val="en-GB"/>
        </w:rPr>
        <w:t xml:space="preserve"> (with conditions) </w:t>
      </w:r>
      <w:r w:rsidR="00134264">
        <w:rPr>
          <w:rFonts w:ascii="Calibri" w:eastAsia="Times New Roman" w:hAnsi="Calibri" w:cs="Calibri"/>
          <w:sz w:val="24"/>
          <w:szCs w:val="20"/>
          <w:lang w:val="en-GB"/>
        </w:rPr>
        <w:t xml:space="preserve">and in respect of the conviction </w:t>
      </w:r>
      <w:r w:rsidR="00AC2DC6">
        <w:rPr>
          <w:rFonts w:ascii="Calibri" w:eastAsia="Times New Roman" w:hAnsi="Calibri" w:cs="Calibri"/>
          <w:sz w:val="24"/>
          <w:szCs w:val="20"/>
          <w:lang w:val="en-GB"/>
        </w:rPr>
        <w:t>for an offence against section 134(3)</w:t>
      </w:r>
      <w:r w:rsidR="00EC118F">
        <w:rPr>
          <w:rFonts w:ascii="Calibri" w:eastAsia="Times New Roman" w:hAnsi="Calibri" w:cs="Calibri"/>
          <w:sz w:val="24"/>
          <w:szCs w:val="20"/>
          <w:lang w:val="en-GB"/>
        </w:rPr>
        <w:t xml:space="preserve"> of the Crimes Act 1961</w:t>
      </w:r>
      <w:r w:rsidR="00AC2DC6">
        <w:rPr>
          <w:rFonts w:ascii="Calibri" w:eastAsia="Times New Roman" w:hAnsi="Calibri" w:cs="Calibri"/>
          <w:sz w:val="24"/>
          <w:szCs w:val="20"/>
          <w:lang w:val="en-GB"/>
        </w:rPr>
        <w:t xml:space="preserve"> she received a first warning, Stage 1</w:t>
      </w:r>
      <w:r w:rsidR="00827FF7">
        <w:rPr>
          <w:rFonts w:ascii="Calibri" w:eastAsia="Times New Roman" w:hAnsi="Calibri" w:cs="Calibri"/>
          <w:sz w:val="24"/>
          <w:szCs w:val="20"/>
          <w:lang w:val="en-GB"/>
        </w:rPr>
        <w:t xml:space="preserve"> pursuant to section 86B(1)(b) of the Sentencing Act</w:t>
      </w:r>
      <w:r w:rsidR="00C576A4">
        <w:rPr>
          <w:rFonts w:ascii="Calibri" w:eastAsia="Times New Roman" w:hAnsi="Calibri" w:cs="Calibri"/>
          <w:sz w:val="24"/>
          <w:szCs w:val="20"/>
          <w:lang w:val="en-GB"/>
        </w:rPr>
        <w:t xml:space="preserve"> 2002.</w:t>
      </w:r>
      <w:r w:rsidR="00CE6FDC">
        <w:rPr>
          <w:rFonts w:ascii="Calibri" w:eastAsia="Times New Roman" w:hAnsi="Calibri" w:cs="Calibri"/>
          <w:sz w:val="24"/>
          <w:szCs w:val="20"/>
          <w:lang w:val="en-GB"/>
        </w:rPr>
        <w:t xml:space="preserve"> Post-detention conditions were also imposed</w:t>
      </w:r>
      <w:r w:rsidR="00B47766">
        <w:rPr>
          <w:rFonts w:ascii="Calibri" w:eastAsia="Times New Roman" w:hAnsi="Calibri" w:cs="Calibri"/>
          <w:sz w:val="24"/>
          <w:szCs w:val="20"/>
          <w:lang w:val="en-GB"/>
        </w:rPr>
        <w:t>, for a period of six months</w:t>
      </w:r>
      <w:r w:rsidR="00CE6FDC">
        <w:rPr>
          <w:rFonts w:ascii="Calibri" w:eastAsia="Times New Roman" w:hAnsi="Calibri" w:cs="Calibri"/>
          <w:sz w:val="24"/>
          <w:szCs w:val="20"/>
          <w:lang w:val="en-GB"/>
        </w:rPr>
        <w:t>.</w:t>
      </w:r>
    </w:p>
    <w:p w14:paraId="506FAC42" w14:textId="45A82CB6" w:rsidR="00285939" w:rsidRPr="00285939" w:rsidRDefault="00285939" w:rsidP="00285939">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sidRPr="00285939">
        <w:rPr>
          <w:rFonts w:ascii="Calibri" w:eastAsia="Times New Roman" w:hAnsi="Calibri" w:cs="Calibri"/>
          <w:sz w:val="24"/>
          <w:szCs w:val="20"/>
          <w:lang w:val="en-GB"/>
        </w:rPr>
        <w:t xml:space="preserve">The background to the convictions concerned </w:t>
      </w:r>
      <w:r w:rsidR="00B74750">
        <w:rPr>
          <w:rFonts w:ascii="Calibri" w:eastAsia="Times New Roman" w:hAnsi="Calibri" w:cs="Calibri"/>
          <w:sz w:val="24"/>
          <w:szCs w:val="20"/>
          <w:lang w:val="en-GB"/>
        </w:rPr>
        <w:t>the practitioner’s</w:t>
      </w:r>
      <w:r w:rsidR="00310AD7">
        <w:rPr>
          <w:rFonts w:ascii="Calibri" w:eastAsia="Times New Roman" w:hAnsi="Calibri" w:cs="Calibri"/>
          <w:sz w:val="24"/>
          <w:szCs w:val="20"/>
          <w:lang w:val="en-GB"/>
        </w:rPr>
        <w:t xml:space="preserve"> engagement with a 15</w:t>
      </w:r>
      <w:r w:rsidR="007B6F27">
        <w:rPr>
          <w:rFonts w:ascii="Calibri" w:eastAsia="Times New Roman" w:hAnsi="Calibri" w:cs="Calibri"/>
          <w:sz w:val="24"/>
          <w:szCs w:val="20"/>
          <w:lang w:val="en-GB"/>
        </w:rPr>
        <w:t>-</w:t>
      </w:r>
      <w:r w:rsidR="00310AD7">
        <w:rPr>
          <w:rFonts w:ascii="Calibri" w:eastAsia="Times New Roman" w:hAnsi="Calibri" w:cs="Calibri"/>
          <w:sz w:val="24"/>
          <w:szCs w:val="20"/>
          <w:lang w:val="en-GB"/>
        </w:rPr>
        <w:t>year old male client in an unlawful manner</w:t>
      </w:r>
      <w:r w:rsidR="00957ED2">
        <w:rPr>
          <w:rFonts w:ascii="Calibri" w:eastAsia="Times New Roman" w:hAnsi="Calibri" w:cs="Calibri"/>
          <w:sz w:val="24"/>
          <w:szCs w:val="20"/>
          <w:lang w:val="en-GB"/>
        </w:rPr>
        <w:t xml:space="preserve"> (sexual conduct with a person under 16</w:t>
      </w:r>
      <w:r w:rsidR="00F1389C">
        <w:rPr>
          <w:rFonts w:ascii="Calibri" w:eastAsia="Times New Roman" w:hAnsi="Calibri" w:cs="Calibri"/>
          <w:sz w:val="24"/>
          <w:szCs w:val="20"/>
          <w:lang w:val="en-GB"/>
        </w:rPr>
        <w:t xml:space="preserve"> and exposing a young person to indecent material)</w:t>
      </w:r>
      <w:r w:rsidR="00727CA1">
        <w:rPr>
          <w:rFonts w:ascii="Calibri" w:eastAsia="Times New Roman" w:hAnsi="Calibri" w:cs="Calibri"/>
          <w:sz w:val="24"/>
          <w:szCs w:val="20"/>
          <w:lang w:val="en-GB"/>
        </w:rPr>
        <w:t xml:space="preserve"> and </w:t>
      </w:r>
      <w:r w:rsidR="006369F6">
        <w:rPr>
          <w:rFonts w:ascii="Calibri" w:eastAsia="Times New Roman" w:hAnsi="Calibri" w:cs="Calibri"/>
          <w:sz w:val="24"/>
          <w:szCs w:val="20"/>
          <w:lang w:val="en-GB"/>
        </w:rPr>
        <w:t>her</w:t>
      </w:r>
      <w:r w:rsidR="00727CA1">
        <w:rPr>
          <w:rFonts w:ascii="Calibri" w:eastAsia="Times New Roman" w:hAnsi="Calibri" w:cs="Calibri"/>
          <w:sz w:val="24"/>
          <w:szCs w:val="20"/>
          <w:lang w:val="en-GB"/>
        </w:rPr>
        <w:t xml:space="preserve"> supply of cannabis to </w:t>
      </w:r>
      <w:r w:rsidR="002C0608">
        <w:rPr>
          <w:rFonts w:ascii="Calibri" w:eastAsia="Times New Roman" w:hAnsi="Calibri" w:cs="Calibri"/>
          <w:sz w:val="24"/>
          <w:szCs w:val="20"/>
          <w:lang w:val="en-GB"/>
        </w:rPr>
        <w:t>him and to another 14-year old boy</w:t>
      </w:r>
      <w:r w:rsidR="00094595">
        <w:rPr>
          <w:rFonts w:ascii="Calibri" w:eastAsia="Times New Roman" w:hAnsi="Calibri" w:cs="Calibri"/>
          <w:sz w:val="24"/>
          <w:szCs w:val="20"/>
          <w:lang w:val="en-GB"/>
        </w:rPr>
        <w:t xml:space="preserve"> who was living with the 15-year old and their</w:t>
      </w:r>
      <w:r w:rsidR="008617F2">
        <w:rPr>
          <w:rFonts w:ascii="Calibri" w:eastAsia="Times New Roman" w:hAnsi="Calibri" w:cs="Calibri"/>
          <w:sz w:val="24"/>
          <w:szCs w:val="20"/>
          <w:lang w:val="en-GB"/>
        </w:rPr>
        <w:t xml:space="preserve"> Oranga Tamariki-approved</w:t>
      </w:r>
      <w:r w:rsidR="00CB5FBB">
        <w:rPr>
          <w:rFonts w:ascii="Calibri" w:eastAsia="Times New Roman" w:hAnsi="Calibri" w:cs="Calibri"/>
          <w:sz w:val="24"/>
          <w:szCs w:val="20"/>
          <w:lang w:val="en-GB"/>
        </w:rPr>
        <w:t xml:space="preserve"> caregiver.</w:t>
      </w:r>
      <w:r w:rsidR="008C10A8">
        <w:rPr>
          <w:rFonts w:ascii="Calibri" w:eastAsia="Times New Roman" w:hAnsi="Calibri" w:cs="Calibri"/>
          <w:sz w:val="24"/>
          <w:szCs w:val="20"/>
          <w:lang w:val="en-GB"/>
        </w:rPr>
        <w:t xml:space="preserve"> There was also offending in the nature of </w:t>
      </w:r>
      <w:r w:rsidR="006C0F59">
        <w:rPr>
          <w:rFonts w:ascii="Calibri" w:eastAsia="Times New Roman" w:hAnsi="Calibri" w:cs="Calibri"/>
          <w:sz w:val="24"/>
          <w:szCs w:val="20"/>
          <w:lang w:val="en-GB"/>
        </w:rPr>
        <w:t xml:space="preserve">attempting to </w:t>
      </w:r>
      <w:r w:rsidR="008C10A8">
        <w:rPr>
          <w:rFonts w:ascii="Calibri" w:eastAsia="Times New Roman" w:hAnsi="Calibri" w:cs="Calibri"/>
          <w:sz w:val="24"/>
          <w:szCs w:val="20"/>
          <w:lang w:val="en-GB"/>
        </w:rPr>
        <w:t>pervert the course of justice arising from this conduct.</w:t>
      </w:r>
      <w:r w:rsidR="00BA202A">
        <w:rPr>
          <w:rFonts w:ascii="Calibri" w:eastAsia="Times New Roman" w:hAnsi="Calibri" w:cs="Calibri"/>
          <w:sz w:val="24"/>
          <w:szCs w:val="20"/>
          <w:lang w:val="en-GB"/>
        </w:rPr>
        <w:t xml:space="preserve"> Th</w:t>
      </w:r>
      <w:r w:rsidR="000F2E4A">
        <w:rPr>
          <w:rFonts w:ascii="Calibri" w:eastAsia="Times New Roman" w:hAnsi="Calibri" w:cs="Calibri"/>
          <w:sz w:val="24"/>
          <w:szCs w:val="20"/>
          <w:lang w:val="en-GB"/>
        </w:rPr>
        <w:t>e</w:t>
      </w:r>
      <w:r w:rsidR="00BA202A">
        <w:rPr>
          <w:rFonts w:ascii="Calibri" w:eastAsia="Times New Roman" w:hAnsi="Calibri" w:cs="Calibri"/>
          <w:sz w:val="24"/>
          <w:szCs w:val="20"/>
          <w:lang w:val="en-GB"/>
        </w:rPr>
        <w:t xml:space="preserve"> conduct occurred prior to the practitioner’s registration as a social work</w:t>
      </w:r>
      <w:r w:rsidR="00A8100E">
        <w:rPr>
          <w:rFonts w:ascii="Calibri" w:eastAsia="Times New Roman" w:hAnsi="Calibri" w:cs="Calibri"/>
          <w:sz w:val="24"/>
          <w:szCs w:val="20"/>
          <w:lang w:val="en-GB"/>
        </w:rPr>
        <w:t>er</w:t>
      </w:r>
      <w:r w:rsidR="005427EB">
        <w:rPr>
          <w:rFonts w:ascii="Calibri" w:eastAsia="Times New Roman" w:hAnsi="Calibri" w:cs="Calibri"/>
          <w:sz w:val="24"/>
          <w:szCs w:val="20"/>
          <w:lang w:val="en-GB"/>
        </w:rPr>
        <w:t xml:space="preserve"> and carried forward into the period when she was registered.</w:t>
      </w:r>
    </w:p>
    <w:p w14:paraId="40DBF073" w14:textId="57C55219" w:rsidR="00285939" w:rsidRPr="00285939" w:rsidRDefault="00527AD0" w:rsidP="00285939">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Pr>
          <w:rFonts w:ascii="Calibri" w:eastAsia="Times New Roman" w:hAnsi="Calibri" w:cs="Calibri"/>
          <w:sz w:val="24"/>
          <w:szCs w:val="20"/>
          <w:lang w:val="en-GB"/>
        </w:rPr>
        <w:t>The</w:t>
      </w:r>
      <w:r w:rsidR="00285939" w:rsidRPr="00285939">
        <w:rPr>
          <w:rFonts w:ascii="Calibri" w:eastAsia="Times New Roman" w:hAnsi="Calibri" w:cs="Calibri"/>
          <w:sz w:val="24"/>
          <w:szCs w:val="20"/>
          <w:lang w:val="en-GB"/>
        </w:rPr>
        <w:t xml:space="preserve"> Social Workers Registration Board (the Board) </w:t>
      </w:r>
      <w:r>
        <w:rPr>
          <w:rFonts w:ascii="Calibri" w:eastAsia="Times New Roman" w:hAnsi="Calibri" w:cs="Calibri"/>
          <w:sz w:val="24"/>
          <w:szCs w:val="20"/>
          <w:lang w:val="en-GB"/>
        </w:rPr>
        <w:t>received notice of the practitioner’s convictions on 30 October 2019.</w:t>
      </w:r>
      <w:r w:rsidR="00285939" w:rsidRPr="00285939">
        <w:rPr>
          <w:rFonts w:ascii="Calibri" w:eastAsia="Times New Roman" w:hAnsi="Calibri" w:cs="Calibri"/>
          <w:sz w:val="24"/>
          <w:szCs w:val="20"/>
          <w:lang w:val="en-GB"/>
        </w:rPr>
        <w:t xml:space="preserve"> The matter of the convictions was then referred to a Professional Conduct Committee (PCC) of the Board. The PCC investigated the matter and laid the Charge before the Tribunal under section 82(1)(c) of the Social Workers Registration Act 2003 (the SWR Act)</w:t>
      </w:r>
      <w:r w:rsidR="001139C3">
        <w:rPr>
          <w:rFonts w:ascii="Calibri" w:eastAsia="Times New Roman" w:hAnsi="Calibri" w:cs="Calibri"/>
          <w:sz w:val="24"/>
          <w:szCs w:val="20"/>
          <w:lang w:val="en-GB"/>
        </w:rPr>
        <w:t xml:space="preserve"> (referral of convictions)</w:t>
      </w:r>
      <w:r w:rsidR="00285939" w:rsidRPr="00285939">
        <w:rPr>
          <w:rFonts w:ascii="Calibri" w:eastAsia="Times New Roman" w:hAnsi="Calibri" w:cs="Calibri"/>
          <w:sz w:val="24"/>
          <w:szCs w:val="20"/>
          <w:lang w:val="en-GB"/>
        </w:rPr>
        <w:t>.</w:t>
      </w:r>
      <w:r w:rsidR="001139C3">
        <w:rPr>
          <w:rFonts w:ascii="Calibri" w:eastAsia="Times New Roman" w:hAnsi="Calibri" w:cs="Calibri"/>
          <w:sz w:val="24"/>
          <w:szCs w:val="20"/>
          <w:lang w:val="en-GB"/>
        </w:rPr>
        <w:t xml:space="preserve"> In the alternative the Charge was laid under section 82(1)(a) of the Act (professional misconduct).</w:t>
      </w:r>
    </w:p>
    <w:p w14:paraId="50A44E15" w14:textId="77777777" w:rsidR="00285939" w:rsidRPr="00285939" w:rsidRDefault="00285939" w:rsidP="00285939">
      <w:pPr>
        <w:tabs>
          <w:tab w:val="left" w:pos="709"/>
        </w:tabs>
        <w:spacing w:after="0" w:line="360" w:lineRule="auto"/>
        <w:ind w:left="567"/>
        <w:contextualSpacing/>
        <w:jc w:val="both"/>
        <w:rPr>
          <w:rFonts w:ascii="Calibri" w:eastAsia="Times New Roman" w:hAnsi="Calibri" w:cs="Calibri"/>
          <w:sz w:val="24"/>
          <w:szCs w:val="20"/>
          <w:lang w:val="en-GB"/>
        </w:rPr>
      </w:pPr>
    </w:p>
    <w:p w14:paraId="4A546175" w14:textId="77777777" w:rsidR="00285939" w:rsidRPr="00285939" w:rsidRDefault="00285939" w:rsidP="00285939">
      <w:pPr>
        <w:tabs>
          <w:tab w:val="left" w:pos="709"/>
        </w:tabs>
        <w:spacing w:after="0" w:line="360" w:lineRule="auto"/>
        <w:contextualSpacing/>
        <w:jc w:val="both"/>
        <w:rPr>
          <w:rFonts w:ascii="Calibri" w:eastAsia="Times New Roman" w:hAnsi="Calibri" w:cs="Calibri"/>
          <w:b/>
          <w:bCs/>
          <w:sz w:val="24"/>
          <w:szCs w:val="20"/>
          <w:lang w:val="en-GB"/>
        </w:rPr>
      </w:pPr>
      <w:r w:rsidRPr="00285939">
        <w:rPr>
          <w:rFonts w:ascii="Calibri" w:eastAsia="Times New Roman" w:hAnsi="Calibri" w:cs="Calibri"/>
          <w:b/>
          <w:bCs/>
          <w:sz w:val="24"/>
          <w:szCs w:val="20"/>
          <w:lang w:val="en-GB"/>
        </w:rPr>
        <w:lastRenderedPageBreak/>
        <w:t xml:space="preserve">Charge </w:t>
      </w:r>
    </w:p>
    <w:p w14:paraId="1822B2CB" w14:textId="1F5E6F16" w:rsidR="006C2267" w:rsidRDefault="00285939" w:rsidP="00CA7F2D">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sidRPr="00285939">
        <w:rPr>
          <w:rFonts w:ascii="Calibri" w:eastAsia="Times New Roman" w:hAnsi="Calibri" w:cs="Calibri"/>
          <w:sz w:val="24"/>
          <w:szCs w:val="20"/>
          <w:lang w:val="en-GB"/>
        </w:rPr>
        <w:t>The particulars of the Charge read:</w:t>
      </w:r>
    </w:p>
    <w:p w14:paraId="04D86C19" w14:textId="77777777" w:rsidR="00CA7F2D" w:rsidRPr="00CA7F2D" w:rsidRDefault="00CA7F2D" w:rsidP="00CA7F2D">
      <w:pPr>
        <w:tabs>
          <w:tab w:val="left" w:pos="709"/>
        </w:tabs>
        <w:spacing w:after="0" w:line="360" w:lineRule="auto"/>
        <w:ind w:left="567"/>
        <w:contextualSpacing/>
        <w:jc w:val="both"/>
        <w:rPr>
          <w:rFonts w:ascii="Calibri" w:eastAsia="Times New Roman" w:hAnsi="Calibri" w:cs="Calibri"/>
          <w:sz w:val="24"/>
          <w:szCs w:val="20"/>
          <w:lang w:val="en-GB"/>
        </w:rPr>
      </w:pPr>
    </w:p>
    <w:p w14:paraId="4E32C763" w14:textId="5C7B2B13" w:rsidR="00285939" w:rsidRPr="00285939" w:rsidRDefault="00B36304" w:rsidP="00B36304">
      <w:pPr>
        <w:tabs>
          <w:tab w:val="left" w:pos="709"/>
        </w:tabs>
        <w:spacing w:after="0" w:line="360" w:lineRule="auto"/>
        <w:ind w:left="709"/>
        <w:contextualSpacing/>
        <w:jc w:val="both"/>
        <w:rPr>
          <w:rFonts w:ascii="Calibri" w:eastAsia="Times New Roman" w:hAnsi="Calibri" w:cs="Calibri"/>
          <w:i/>
          <w:iCs/>
          <w:sz w:val="24"/>
          <w:szCs w:val="20"/>
          <w:lang w:val="en-GB"/>
        </w:rPr>
      </w:pPr>
      <w:r>
        <w:rPr>
          <w:rFonts w:ascii="Calibri" w:eastAsia="Times New Roman" w:hAnsi="Calibri" w:cs="Calibri"/>
          <w:i/>
          <w:iCs/>
          <w:sz w:val="24"/>
          <w:szCs w:val="20"/>
          <w:lang w:val="en-GB"/>
        </w:rPr>
        <w:tab/>
      </w:r>
      <w:r w:rsidR="006C2267">
        <w:rPr>
          <w:rFonts w:ascii="Calibri" w:eastAsia="Times New Roman" w:hAnsi="Calibri" w:cs="Calibri"/>
          <w:i/>
          <w:iCs/>
          <w:sz w:val="24"/>
          <w:szCs w:val="20"/>
          <w:lang w:val="en-GB"/>
        </w:rPr>
        <w:t>(</w:t>
      </w:r>
      <w:proofErr w:type="spellStart"/>
      <w:r w:rsidR="006C2267">
        <w:rPr>
          <w:rFonts w:ascii="Calibri" w:eastAsia="Times New Roman" w:hAnsi="Calibri" w:cs="Calibri"/>
          <w:i/>
          <w:iCs/>
          <w:sz w:val="24"/>
          <w:szCs w:val="20"/>
          <w:lang w:val="en-GB"/>
        </w:rPr>
        <w:t>i</w:t>
      </w:r>
      <w:proofErr w:type="spellEnd"/>
      <w:r w:rsidR="006C2267">
        <w:rPr>
          <w:rFonts w:ascii="Calibri" w:eastAsia="Times New Roman" w:hAnsi="Calibri" w:cs="Calibri"/>
          <w:i/>
          <w:iCs/>
          <w:sz w:val="24"/>
          <w:szCs w:val="20"/>
          <w:lang w:val="en-GB"/>
        </w:rPr>
        <w:t>)</w:t>
      </w:r>
      <w:r w:rsidR="00285939" w:rsidRPr="00285939">
        <w:rPr>
          <w:rFonts w:ascii="Calibri" w:eastAsia="Times New Roman" w:hAnsi="Calibri" w:cs="Calibri"/>
          <w:i/>
          <w:iCs/>
          <w:sz w:val="24"/>
          <w:szCs w:val="20"/>
          <w:lang w:val="en-GB"/>
        </w:rPr>
        <w:t xml:space="preserve"> </w:t>
      </w:r>
      <w:r w:rsidR="00BD3CC5">
        <w:rPr>
          <w:rFonts w:ascii="Calibri" w:eastAsia="Times New Roman" w:hAnsi="Calibri" w:cs="Calibri"/>
          <w:i/>
          <w:iCs/>
          <w:sz w:val="24"/>
          <w:szCs w:val="20"/>
          <w:lang w:val="en-GB"/>
        </w:rPr>
        <w:t>She was convicted and sentenced on 4 October 2019 in the Auckland District Court to ten months’ home detention for the following charges</w:t>
      </w:r>
      <w:r w:rsidR="00285939" w:rsidRPr="00285939">
        <w:rPr>
          <w:rFonts w:ascii="Calibri" w:eastAsia="Times New Roman" w:hAnsi="Calibri" w:cs="Calibri"/>
          <w:i/>
          <w:iCs/>
          <w:sz w:val="24"/>
          <w:szCs w:val="20"/>
          <w:lang w:val="en-GB"/>
        </w:rPr>
        <w:t>:</w:t>
      </w:r>
    </w:p>
    <w:p w14:paraId="0D17F8B6" w14:textId="77777777" w:rsidR="00285939" w:rsidRPr="00285939" w:rsidRDefault="00285939" w:rsidP="00285939">
      <w:pPr>
        <w:tabs>
          <w:tab w:val="left" w:pos="709"/>
        </w:tabs>
        <w:spacing w:after="0" w:line="360" w:lineRule="auto"/>
        <w:ind w:left="1437"/>
        <w:contextualSpacing/>
        <w:jc w:val="both"/>
        <w:rPr>
          <w:rFonts w:ascii="Calibri" w:eastAsia="Times New Roman" w:hAnsi="Calibri" w:cs="Calibri"/>
          <w:i/>
          <w:iCs/>
          <w:sz w:val="24"/>
          <w:szCs w:val="20"/>
          <w:lang w:val="en-GB"/>
        </w:rPr>
      </w:pPr>
    </w:p>
    <w:p w14:paraId="6BAD0620" w14:textId="1A8C2DEE" w:rsidR="00285939" w:rsidRPr="00285939" w:rsidRDefault="00BD3CC5" w:rsidP="00285939">
      <w:pPr>
        <w:numPr>
          <w:ilvl w:val="1"/>
          <w:numId w:val="2"/>
        </w:numPr>
        <w:tabs>
          <w:tab w:val="left" w:pos="709"/>
        </w:tabs>
        <w:spacing w:after="0" w:line="360" w:lineRule="auto"/>
        <w:contextualSpacing/>
        <w:jc w:val="both"/>
        <w:rPr>
          <w:rFonts w:ascii="Calibri" w:eastAsia="Times New Roman" w:hAnsi="Calibri" w:cs="Calibri"/>
          <w:i/>
          <w:iCs/>
          <w:sz w:val="24"/>
          <w:szCs w:val="20"/>
          <w:lang w:val="en-GB"/>
        </w:rPr>
      </w:pPr>
      <w:r>
        <w:rPr>
          <w:rFonts w:ascii="Calibri" w:eastAsia="Times New Roman" w:hAnsi="Calibri" w:cs="Calibri"/>
          <w:i/>
          <w:iCs/>
          <w:sz w:val="24"/>
          <w:szCs w:val="20"/>
          <w:lang w:val="en-GB"/>
        </w:rPr>
        <w:t>Attempting to pervert the course of justice (s 117(e) Crimes Act 1961</w:t>
      </w:r>
      <w:r w:rsidR="00D02C5B">
        <w:rPr>
          <w:rFonts w:ascii="Calibri" w:eastAsia="Times New Roman" w:hAnsi="Calibri" w:cs="Calibri"/>
          <w:i/>
          <w:iCs/>
          <w:sz w:val="24"/>
          <w:szCs w:val="20"/>
          <w:lang w:val="en-GB"/>
        </w:rPr>
        <w:t>, maximum penalty 7 years’ imprisonment)</w:t>
      </w:r>
      <w:r w:rsidR="00285939" w:rsidRPr="00285939">
        <w:rPr>
          <w:rFonts w:ascii="Calibri" w:eastAsia="Times New Roman" w:hAnsi="Calibri" w:cs="Calibri"/>
          <w:i/>
          <w:iCs/>
          <w:sz w:val="24"/>
          <w:szCs w:val="20"/>
          <w:lang w:val="en-GB"/>
        </w:rPr>
        <w:t xml:space="preserve">; </w:t>
      </w:r>
    </w:p>
    <w:p w14:paraId="67D0F9AD" w14:textId="16DD7F44" w:rsidR="00285939" w:rsidRDefault="00D02C5B" w:rsidP="00285939">
      <w:pPr>
        <w:numPr>
          <w:ilvl w:val="1"/>
          <w:numId w:val="2"/>
        </w:numPr>
        <w:tabs>
          <w:tab w:val="left" w:pos="709"/>
        </w:tabs>
        <w:spacing w:after="0" w:line="360" w:lineRule="auto"/>
        <w:contextualSpacing/>
        <w:jc w:val="both"/>
        <w:rPr>
          <w:rFonts w:ascii="Calibri" w:eastAsia="Times New Roman" w:hAnsi="Calibri" w:cs="Calibri"/>
          <w:i/>
          <w:iCs/>
          <w:sz w:val="24"/>
          <w:szCs w:val="20"/>
          <w:lang w:val="en-GB"/>
        </w:rPr>
      </w:pPr>
      <w:r>
        <w:rPr>
          <w:rFonts w:ascii="Calibri" w:eastAsia="Times New Roman" w:hAnsi="Calibri" w:cs="Calibri"/>
          <w:i/>
          <w:iCs/>
          <w:sz w:val="24"/>
          <w:szCs w:val="20"/>
          <w:lang w:val="en-GB"/>
        </w:rPr>
        <w:t>Exposing a young person under the age of 16 to indecent material (s 124A(1</w:t>
      </w:r>
      <w:r w:rsidR="005F700A">
        <w:rPr>
          <w:rFonts w:ascii="Calibri" w:eastAsia="Times New Roman" w:hAnsi="Calibri" w:cs="Calibri"/>
          <w:i/>
          <w:iCs/>
          <w:sz w:val="24"/>
          <w:szCs w:val="20"/>
          <w:lang w:val="en-GB"/>
        </w:rPr>
        <w:t>)</w:t>
      </w:r>
      <w:r w:rsidR="00BD35FF">
        <w:rPr>
          <w:rFonts w:ascii="Calibri" w:eastAsia="Times New Roman" w:hAnsi="Calibri" w:cs="Calibri"/>
          <w:i/>
          <w:iCs/>
          <w:sz w:val="24"/>
          <w:szCs w:val="20"/>
          <w:lang w:val="en-GB"/>
        </w:rPr>
        <w:t xml:space="preserve"> Crimes Act 1961, maximum penalty 3 years’ imprisonment</w:t>
      </w:r>
      <w:r>
        <w:rPr>
          <w:rFonts w:ascii="Calibri" w:eastAsia="Times New Roman" w:hAnsi="Calibri" w:cs="Calibri"/>
          <w:i/>
          <w:iCs/>
          <w:sz w:val="24"/>
          <w:szCs w:val="20"/>
          <w:lang w:val="en-GB"/>
        </w:rPr>
        <w:t>)</w:t>
      </w:r>
      <w:r w:rsidR="00BD35FF">
        <w:rPr>
          <w:rFonts w:ascii="Calibri" w:eastAsia="Times New Roman" w:hAnsi="Calibri" w:cs="Calibri"/>
          <w:i/>
          <w:iCs/>
          <w:sz w:val="24"/>
          <w:szCs w:val="20"/>
          <w:lang w:val="en-GB"/>
        </w:rPr>
        <w:t xml:space="preserve"> (representative charge);</w:t>
      </w:r>
    </w:p>
    <w:p w14:paraId="5B689419" w14:textId="33444AE6" w:rsidR="00BD35FF" w:rsidRDefault="00BD35FF" w:rsidP="00285939">
      <w:pPr>
        <w:numPr>
          <w:ilvl w:val="1"/>
          <w:numId w:val="2"/>
        </w:numPr>
        <w:tabs>
          <w:tab w:val="left" w:pos="709"/>
        </w:tabs>
        <w:spacing w:after="0" w:line="360" w:lineRule="auto"/>
        <w:contextualSpacing/>
        <w:jc w:val="both"/>
        <w:rPr>
          <w:rFonts w:ascii="Calibri" w:eastAsia="Times New Roman" w:hAnsi="Calibri" w:cs="Calibri"/>
          <w:i/>
          <w:iCs/>
          <w:sz w:val="24"/>
          <w:szCs w:val="20"/>
          <w:lang w:val="en-GB"/>
        </w:rPr>
      </w:pPr>
      <w:r>
        <w:rPr>
          <w:rFonts w:ascii="Calibri" w:eastAsia="Times New Roman" w:hAnsi="Calibri" w:cs="Calibri"/>
          <w:i/>
          <w:iCs/>
          <w:sz w:val="24"/>
          <w:szCs w:val="20"/>
          <w:lang w:val="en-GB"/>
        </w:rPr>
        <w:t xml:space="preserve">Two counts of supplying a class C drug to a person under the age of 18 </w:t>
      </w:r>
      <w:r w:rsidR="009947A7">
        <w:rPr>
          <w:rFonts w:ascii="Calibri" w:eastAsia="Times New Roman" w:hAnsi="Calibri" w:cs="Calibri"/>
          <w:i/>
          <w:iCs/>
          <w:sz w:val="24"/>
          <w:szCs w:val="20"/>
          <w:lang w:val="en-GB"/>
        </w:rPr>
        <w:t>(s 6(1</w:t>
      </w:r>
      <w:r w:rsidR="003E424D">
        <w:rPr>
          <w:rFonts w:ascii="Calibri" w:eastAsia="Times New Roman" w:hAnsi="Calibri" w:cs="Calibri"/>
          <w:i/>
          <w:iCs/>
          <w:sz w:val="24"/>
          <w:szCs w:val="20"/>
          <w:lang w:val="en-GB"/>
        </w:rPr>
        <w:t>)</w:t>
      </w:r>
      <w:r w:rsidR="009947A7">
        <w:rPr>
          <w:rFonts w:ascii="Calibri" w:eastAsia="Times New Roman" w:hAnsi="Calibri" w:cs="Calibri"/>
          <w:i/>
          <w:iCs/>
          <w:sz w:val="24"/>
          <w:szCs w:val="20"/>
          <w:lang w:val="en-GB"/>
        </w:rPr>
        <w:t>(d) Misuse of Drugs Act 1975, maximum penalty 8 years’ imprisonment) (</w:t>
      </w:r>
      <w:r w:rsidR="00227DF1">
        <w:rPr>
          <w:rFonts w:ascii="Calibri" w:eastAsia="Times New Roman" w:hAnsi="Calibri" w:cs="Calibri"/>
          <w:i/>
          <w:iCs/>
          <w:sz w:val="24"/>
          <w:szCs w:val="20"/>
          <w:lang w:val="en-GB"/>
        </w:rPr>
        <w:t>one charge is a representative charge);</w:t>
      </w:r>
    </w:p>
    <w:p w14:paraId="36414505" w14:textId="6F21A16E" w:rsidR="00227DF1" w:rsidRDefault="00227DF1" w:rsidP="00285939">
      <w:pPr>
        <w:numPr>
          <w:ilvl w:val="1"/>
          <w:numId w:val="2"/>
        </w:numPr>
        <w:tabs>
          <w:tab w:val="left" w:pos="709"/>
        </w:tabs>
        <w:spacing w:after="0" w:line="360" w:lineRule="auto"/>
        <w:contextualSpacing/>
        <w:jc w:val="both"/>
        <w:rPr>
          <w:rFonts w:ascii="Calibri" w:eastAsia="Times New Roman" w:hAnsi="Calibri" w:cs="Calibri"/>
          <w:i/>
          <w:iCs/>
          <w:sz w:val="24"/>
          <w:szCs w:val="20"/>
          <w:lang w:val="en-GB"/>
        </w:rPr>
      </w:pPr>
      <w:r>
        <w:rPr>
          <w:rFonts w:ascii="Calibri" w:eastAsia="Times New Roman" w:hAnsi="Calibri" w:cs="Calibri"/>
          <w:i/>
          <w:iCs/>
          <w:sz w:val="24"/>
          <w:szCs w:val="20"/>
          <w:lang w:val="en-GB"/>
        </w:rPr>
        <w:t>Doing an indecent act on a young person (s 134(3) Crimes Act 1961</w:t>
      </w:r>
      <w:r w:rsidR="00550ADD">
        <w:rPr>
          <w:rFonts w:ascii="Calibri" w:eastAsia="Times New Roman" w:hAnsi="Calibri" w:cs="Calibri"/>
          <w:i/>
          <w:iCs/>
          <w:sz w:val="24"/>
          <w:szCs w:val="20"/>
          <w:lang w:val="en-GB"/>
        </w:rPr>
        <w:t>, maximum penalty 7 years’ imprisonment) (representative charge);</w:t>
      </w:r>
    </w:p>
    <w:p w14:paraId="783ADA84" w14:textId="4CDC5F36" w:rsidR="00550ADD" w:rsidRPr="00285939" w:rsidRDefault="00550ADD" w:rsidP="00285939">
      <w:pPr>
        <w:numPr>
          <w:ilvl w:val="1"/>
          <w:numId w:val="2"/>
        </w:numPr>
        <w:tabs>
          <w:tab w:val="left" w:pos="709"/>
        </w:tabs>
        <w:spacing w:after="0" w:line="360" w:lineRule="auto"/>
        <w:contextualSpacing/>
        <w:jc w:val="both"/>
        <w:rPr>
          <w:rFonts w:ascii="Calibri" w:eastAsia="Times New Roman" w:hAnsi="Calibri" w:cs="Calibri"/>
          <w:i/>
          <w:iCs/>
          <w:sz w:val="24"/>
          <w:szCs w:val="20"/>
          <w:lang w:val="en-GB"/>
        </w:rPr>
      </w:pPr>
      <w:r>
        <w:rPr>
          <w:rFonts w:ascii="Calibri" w:eastAsia="Times New Roman" w:hAnsi="Calibri" w:cs="Calibri"/>
          <w:i/>
          <w:iCs/>
          <w:sz w:val="24"/>
          <w:szCs w:val="20"/>
          <w:lang w:val="en-GB"/>
        </w:rPr>
        <w:t>Meeting a young person to commit an offence following communication (s 131B(1) Crimes Act 1961, maximum penalty 7 years’ imprisonment).</w:t>
      </w:r>
    </w:p>
    <w:p w14:paraId="57074C05" w14:textId="77777777" w:rsidR="00285939" w:rsidRPr="00285939" w:rsidRDefault="00285939" w:rsidP="00285939">
      <w:pPr>
        <w:tabs>
          <w:tab w:val="left" w:pos="709"/>
        </w:tabs>
        <w:spacing w:after="0" w:line="360" w:lineRule="auto"/>
        <w:ind w:left="1647"/>
        <w:contextualSpacing/>
        <w:jc w:val="both"/>
        <w:rPr>
          <w:rFonts w:ascii="Calibri" w:eastAsia="Times New Roman" w:hAnsi="Calibri" w:cs="Calibri"/>
          <w:i/>
          <w:iCs/>
          <w:sz w:val="24"/>
          <w:szCs w:val="20"/>
          <w:lang w:val="en-GB"/>
        </w:rPr>
      </w:pPr>
    </w:p>
    <w:p w14:paraId="4DFC446A" w14:textId="607386C1" w:rsidR="00285939" w:rsidRDefault="00B36304" w:rsidP="00B36304">
      <w:pPr>
        <w:tabs>
          <w:tab w:val="left" w:pos="709"/>
        </w:tabs>
        <w:spacing w:after="0" w:line="360" w:lineRule="auto"/>
        <w:jc w:val="both"/>
        <w:rPr>
          <w:rFonts w:ascii="Calibri" w:eastAsia="Times New Roman" w:hAnsi="Calibri" w:cs="Calibri"/>
          <w:i/>
          <w:iCs/>
          <w:sz w:val="24"/>
          <w:szCs w:val="20"/>
          <w:lang w:val="en-GB"/>
        </w:rPr>
      </w:pPr>
      <w:r>
        <w:rPr>
          <w:rFonts w:ascii="Calibri" w:eastAsia="Times New Roman" w:hAnsi="Calibri" w:cs="Calibri"/>
          <w:i/>
          <w:iCs/>
          <w:sz w:val="24"/>
          <w:szCs w:val="20"/>
          <w:lang w:val="en-GB"/>
        </w:rPr>
        <w:tab/>
      </w:r>
      <w:r w:rsidR="00200753">
        <w:rPr>
          <w:rFonts w:ascii="Calibri" w:eastAsia="Times New Roman" w:hAnsi="Calibri" w:cs="Calibri"/>
          <w:i/>
          <w:iCs/>
          <w:sz w:val="24"/>
          <w:szCs w:val="20"/>
          <w:lang w:val="en-GB"/>
        </w:rPr>
        <w:t>(ii)</w:t>
      </w:r>
      <w:r w:rsidR="002B0B44" w:rsidRPr="00200753">
        <w:rPr>
          <w:rFonts w:ascii="Calibri" w:eastAsia="Times New Roman" w:hAnsi="Calibri" w:cs="Calibri"/>
          <w:i/>
          <w:iCs/>
          <w:sz w:val="24"/>
          <w:szCs w:val="20"/>
          <w:lang w:val="en-GB"/>
        </w:rPr>
        <w:t>The nature and extent of her offending reflects adversely on her fitness to practise</w:t>
      </w:r>
      <w:r w:rsidR="00BC61D3">
        <w:rPr>
          <w:rFonts w:ascii="Calibri" w:eastAsia="Times New Roman" w:hAnsi="Calibri" w:cs="Calibri"/>
          <w:i/>
          <w:iCs/>
          <w:sz w:val="24"/>
          <w:szCs w:val="20"/>
          <w:lang w:val="en-GB"/>
        </w:rPr>
        <w:t>.</w:t>
      </w:r>
    </w:p>
    <w:p w14:paraId="482F7A4C" w14:textId="77777777" w:rsidR="00BC61D3" w:rsidRDefault="00BC61D3" w:rsidP="00B36304">
      <w:pPr>
        <w:tabs>
          <w:tab w:val="left" w:pos="709"/>
        </w:tabs>
        <w:spacing w:after="0" w:line="360" w:lineRule="auto"/>
        <w:jc w:val="both"/>
        <w:rPr>
          <w:rFonts w:ascii="Calibri" w:eastAsia="Times New Roman" w:hAnsi="Calibri" w:cs="Calibri"/>
          <w:i/>
          <w:iCs/>
          <w:sz w:val="24"/>
          <w:szCs w:val="20"/>
          <w:lang w:val="en-GB"/>
        </w:rPr>
      </w:pPr>
    </w:p>
    <w:p w14:paraId="5E3C65D8" w14:textId="64217EAD" w:rsidR="00200753" w:rsidRPr="00200753" w:rsidRDefault="00B36304" w:rsidP="00B36304">
      <w:pPr>
        <w:tabs>
          <w:tab w:val="left" w:pos="709"/>
        </w:tabs>
        <w:spacing w:after="0" w:line="360" w:lineRule="auto"/>
        <w:ind w:left="709"/>
        <w:jc w:val="both"/>
        <w:rPr>
          <w:rFonts w:ascii="Calibri" w:eastAsia="Times New Roman" w:hAnsi="Calibri" w:cs="Calibri"/>
          <w:i/>
          <w:iCs/>
          <w:sz w:val="24"/>
          <w:szCs w:val="20"/>
          <w:lang w:val="en-GB"/>
        </w:rPr>
      </w:pPr>
      <w:r>
        <w:rPr>
          <w:rFonts w:ascii="Calibri" w:eastAsia="Times New Roman" w:hAnsi="Calibri" w:cs="Calibri"/>
          <w:i/>
          <w:iCs/>
          <w:sz w:val="24"/>
          <w:szCs w:val="20"/>
          <w:lang w:val="en-GB"/>
        </w:rPr>
        <w:tab/>
      </w:r>
      <w:r w:rsidR="00200753">
        <w:rPr>
          <w:rFonts w:ascii="Calibri" w:eastAsia="Times New Roman" w:hAnsi="Calibri" w:cs="Calibri"/>
          <w:i/>
          <w:iCs/>
          <w:sz w:val="24"/>
          <w:szCs w:val="20"/>
          <w:lang w:val="en-GB"/>
        </w:rPr>
        <w:t>(</w:t>
      </w:r>
      <w:r w:rsidR="005B1083">
        <w:rPr>
          <w:rFonts w:ascii="Calibri" w:eastAsia="Times New Roman" w:hAnsi="Calibri" w:cs="Calibri"/>
          <w:i/>
          <w:iCs/>
          <w:sz w:val="24"/>
          <w:szCs w:val="20"/>
          <w:lang w:val="en-GB"/>
        </w:rPr>
        <w:t>iii) She breached the Code of Conduct issued by the Social Workers Registration Board pursuant to s 105 of the Act, in that she failed to act with integrity and honesty, protect the rights and promote the interests of clients, strive to establish and maintain the trust and confidence of clients, and failed to maintain public trust and confidence in the social work profession, and in doing so, she committed acts that are likely to bring discredit to the social worker profession”.</w:t>
      </w:r>
    </w:p>
    <w:p w14:paraId="77C0B2D0" w14:textId="77777777" w:rsidR="006C2267" w:rsidRPr="00285939" w:rsidRDefault="006C2267" w:rsidP="005B1083">
      <w:pPr>
        <w:tabs>
          <w:tab w:val="left" w:pos="709"/>
        </w:tabs>
        <w:spacing w:after="0" w:line="360" w:lineRule="auto"/>
        <w:ind w:left="1437"/>
        <w:contextualSpacing/>
        <w:jc w:val="both"/>
        <w:rPr>
          <w:rFonts w:ascii="Calibri" w:eastAsia="Times New Roman" w:hAnsi="Calibri" w:cs="Calibri"/>
          <w:i/>
          <w:iCs/>
          <w:sz w:val="24"/>
          <w:szCs w:val="20"/>
          <w:lang w:val="en-GB"/>
        </w:rPr>
      </w:pPr>
    </w:p>
    <w:p w14:paraId="61D98639" w14:textId="77777777" w:rsidR="00285939" w:rsidRPr="00285939" w:rsidRDefault="00285939" w:rsidP="00285939">
      <w:pPr>
        <w:tabs>
          <w:tab w:val="left" w:pos="709"/>
        </w:tabs>
        <w:spacing w:after="0" w:line="360" w:lineRule="auto"/>
        <w:jc w:val="both"/>
        <w:rPr>
          <w:rFonts w:ascii="Calibri" w:eastAsia="Times New Roman" w:hAnsi="Calibri" w:cs="Calibri"/>
          <w:b/>
          <w:bCs/>
          <w:sz w:val="24"/>
          <w:szCs w:val="20"/>
          <w:lang w:val="en-GB"/>
        </w:rPr>
      </w:pPr>
      <w:r w:rsidRPr="00285939">
        <w:rPr>
          <w:rFonts w:ascii="Calibri" w:eastAsia="Times New Roman" w:hAnsi="Calibri" w:cs="Calibri"/>
          <w:b/>
          <w:bCs/>
          <w:sz w:val="24"/>
          <w:szCs w:val="20"/>
          <w:lang w:val="en-GB"/>
        </w:rPr>
        <w:t>Hearing</w:t>
      </w:r>
    </w:p>
    <w:p w14:paraId="70FF323D" w14:textId="588C1CC1" w:rsidR="00285939" w:rsidRPr="00285939" w:rsidRDefault="00285939" w:rsidP="00285939">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sidRPr="00285939">
        <w:rPr>
          <w:rFonts w:ascii="Calibri" w:eastAsia="Times New Roman" w:hAnsi="Calibri" w:cs="Calibri"/>
          <w:sz w:val="24"/>
          <w:szCs w:val="20"/>
          <w:lang w:val="en-GB"/>
        </w:rPr>
        <w:t xml:space="preserve">The Charge was heard by </w:t>
      </w:r>
      <w:r w:rsidR="00D52ADB">
        <w:rPr>
          <w:rFonts w:ascii="Calibri" w:eastAsia="Times New Roman" w:hAnsi="Calibri" w:cs="Calibri"/>
          <w:sz w:val="24"/>
          <w:szCs w:val="20"/>
          <w:lang w:val="en-GB"/>
        </w:rPr>
        <w:t>audio-visual link (</w:t>
      </w:r>
      <w:r w:rsidRPr="00285939">
        <w:rPr>
          <w:rFonts w:ascii="Calibri" w:eastAsia="Times New Roman" w:hAnsi="Calibri" w:cs="Calibri"/>
          <w:sz w:val="24"/>
          <w:szCs w:val="20"/>
          <w:lang w:val="en-GB"/>
        </w:rPr>
        <w:t>AVL</w:t>
      </w:r>
      <w:r w:rsidR="00D52ADB">
        <w:rPr>
          <w:rFonts w:ascii="Calibri" w:eastAsia="Times New Roman" w:hAnsi="Calibri" w:cs="Calibri"/>
          <w:sz w:val="24"/>
          <w:szCs w:val="20"/>
          <w:lang w:val="en-GB"/>
        </w:rPr>
        <w:t>)</w:t>
      </w:r>
      <w:r w:rsidRPr="00285939">
        <w:rPr>
          <w:rFonts w:ascii="Calibri" w:eastAsia="Times New Roman" w:hAnsi="Calibri" w:cs="Calibri"/>
          <w:sz w:val="24"/>
          <w:szCs w:val="20"/>
          <w:lang w:val="en-GB"/>
        </w:rPr>
        <w:t>. The PCC was represented by Counsel</w:t>
      </w:r>
      <w:r w:rsidR="005357B0">
        <w:rPr>
          <w:rFonts w:ascii="Calibri" w:eastAsia="Times New Roman" w:hAnsi="Calibri" w:cs="Calibri"/>
          <w:sz w:val="24"/>
          <w:szCs w:val="20"/>
          <w:lang w:val="en-GB"/>
        </w:rPr>
        <w:t>. There was no</w:t>
      </w:r>
      <w:r w:rsidRPr="00285939">
        <w:rPr>
          <w:rFonts w:ascii="Calibri" w:eastAsia="Times New Roman" w:hAnsi="Calibri" w:cs="Calibri"/>
          <w:sz w:val="24"/>
          <w:szCs w:val="20"/>
          <w:lang w:val="en-GB"/>
        </w:rPr>
        <w:t xml:space="preserve"> appear</w:t>
      </w:r>
      <w:r w:rsidR="005357B0">
        <w:rPr>
          <w:rFonts w:ascii="Calibri" w:eastAsia="Times New Roman" w:hAnsi="Calibri" w:cs="Calibri"/>
          <w:sz w:val="24"/>
          <w:szCs w:val="20"/>
          <w:lang w:val="en-GB"/>
        </w:rPr>
        <w:t>ance by or for the practitioner</w:t>
      </w:r>
      <w:r w:rsidRPr="00285939">
        <w:rPr>
          <w:rFonts w:ascii="Calibri" w:eastAsia="Times New Roman" w:hAnsi="Calibri" w:cs="Calibri"/>
          <w:sz w:val="24"/>
          <w:szCs w:val="20"/>
          <w:lang w:val="en-GB"/>
        </w:rPr>
        <w:t xml:space="preserve">. </w:t>
      </w:r>
      <w:r w:rsidR="00506434">
        <w:rPr>
          <w:rFonts w:ascii="Calibri" w:eastAsia="Times New Roman" w:hAnsi="Calibri" w:cs="Calibri"/>
          <w:sz w:val="24"/>
          <w:szCs w:val="20"/>
          <w:lang w:val="en-GB"/>
        </w:rPr>
        <w:t>Although the practitioner was formally notified of the hearing mode and date on 9 September 2020, on</w:t>
      </w:r>
      <w:r w:rsidR="00AB1E64">
        <w:rPr>
          <w:rFonts w:ascii="Calibri" w:eastAsia="Times New Roman" w:hAnsi="Calibri" w:cs="Calibri"/>
          <w:sz w:val="24"/>
          <w:szCs w:val="20"/>
          <w:lang w:val="en-GB"/>
        </w:rPr>
        <w:t xml:space="preserve"> 11 August </w:t>
      </w:r>
      <w:r w:rsidR="00AB1E64">
        <w:rPr>
          <w:rFonts w:ascii="Calibri" w:eastAsia="Times New Roman" w:hAnsi="Calibri" w:cs="Calibri"/>
          <w:sz w:val="24"/>
          <w:szCs w:val="20"/>
          <w:lang w:val="en-GB"/>
        </w:rPr>
        <w:lastRenderedPageBreak/>
        <w:t>2020 the practitioner had advised the Tribunal that she wished to “withdraw” from the Tribunal process and “no longer wished to proceed”.</w:t>
      </w:r>
      <w:r w:rsidR="00755020">
        <w:rPr>
          <w:rFonts w:ascii="Calibri" w:eastAsia="Times New Roman" w:hAnsi="Calibri" w:cs="Calibri"/>
          <w:sz w:val="24"/>
          <w:szCs w:val="20"/>
          <w:lang w:val="en-GB"/>
        </w:rPr>
        <w:t xml:space="preserve"> For that reason</w:t>
      </w:r>
      <w:r w:rsidR="003240BC">
        <w:rPr>
          <w:rFonts w:ascii="Calibri" w:eastAsia="Times New Roman" w:hAnsi="Calibri" w:cs="Calibri"/>
          <w:sz w:val="24"/>
          <w:szCs w:val="20"/>
          <w:lang w:val="en-GB"/>
        </w:rPr>
        <w:t>,</w:t>
      </w:r>
      <w:r w:rsidR="00755020">
        <w:rPr>
          <w:rFonts w:ascii="Calibri" w:eastAsia="Times New Roman" w:hAnsi="Calibri" w:cs="Calibri"/>
          <w:sz w:val="24"/>
          <w:szCs w:val="20"/>
          <w:lang w:val="en-GB"/>
        </w:rPr>
        <w:t xml:space="preserve"> the </w:t>
      </w:r>
      <w:r w:rsidR="008D667A">
        <w:rPr>
          <w:rFonts w:ascii="Calibri" w:eastAsia="Times New Roman" w:hAnsi="Calibri" w:cs="Calibri"/>
          <w:sz w:val="24"/>
          <w:szCs w:val="20"/>
          <w:lang w:val="en-GB"/>
        </w:rPr>
        <w:t>PCC</w:t>
      </w:r>
      <w:r w:rsidR="00755020">
        <w:rPr>
          <w:rFonts w:ascii="Calibri" w:eastAsia="Times New Roman" w:hAnsi="Calibri" w:cs="Calibri"/>
          <w:sz w:val="24"/>
          <w:szCs w:val="20"/>
          <w:lang w:val="en-GB"/>
        </w:rPr>
        <w:t xml:space="preserve"> proceeded by way of formal proof</w:t>
      </w:r>
      <w:r w:rsidR="008D667A">
        <w:rPr>
          <w:rFonts w:ascii="Calibri" w:eastAsia="Times New Roman" w:hAnsi="Calibri" w:cs="Calibri"/>
          <w:sz w:val="24"/>
          <w:szCs w:val="20"/>
          <w:lang w:val="en-GB"/>
        </w:rPr>
        <w:t xml:space="preserve"> of the Charge</w:t>
      </w:r>
      <w:r w:rsidR="00755020">
        <w:rPr>
          <w:rFonts w:ascii="Calibri" w:eastAsia="Times New Roman" w:hAnsi="Calibri" w:cs="Calibri"/>
          <w:sz w:val="24"/>
          <w:szCs w:val="20"/>
          <w:lang w:val="en-GB"/>
        </w:rPr>
        <w:t>.</w:t>
      </w:r>
    </w:p>
    <w:p w14:paraId="0647DB0D" w14:textId="096C3C9F" w:rsidR="0020074F" w:rsidRDefault="00285939" w:rsidP="00503028">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sidRPr="00285939">
        <w:rPr>
          <w:rFonts w:ascii="Calibri" w:eastAsia="Times New Roman" w:hAnsi="Calibri" w:cs="Calibri"/>
          <w:sz w:val="24"/>
          <w:szCs w:val="20"/>
          <w:lang w:val="en-GB"/>
        </w:rPr>
        <w:t>There was produced to the Tribunal</w:t>
      </w:r>
      <w:r w:rsidR="00755020">
        <w:rPr>
          <w:rFonts w:ascii="Calibri" w:eastAsia="Times New Roman" w:hAnsi="Calibri" w:cs="Calibri"/>
          <w:sz w:val="24"/>
          <w:szCs w:val="20"/>
          <w:lang w:val="en-GB"/>
        </w:rPr>
        <w:t xml:space="preserve"> </w:t>
      </w:r>
      <w:r w:rsidRPr="00285939">
        <w:rPr>
          <w:rFonts w:ascii="Calibri" w:eastAsia="Times New Roman" w:hAnsi="Calibri" w:cs="Calibri"/>
          <w:sz w:val="24"/>
          <w:szCs w:val="20"/>
          <w:lang w:val="en-GB"/>
        </w:rPr>
        <w:t>an A</w:t>
      </w:r>
      <w:r w:rsidR="00755020">
        <w:rPr>
          <w:rFonts w:ascii="Calibri" w:eastAsia="Times New Roman" w:hAnsi="Calibri" w:cs="Calibri"/>
          <w:sz w:val="24"/>
          <w:szCs w:val="20"/>
          <w:lang w:val="en-GB"/>
        </w:rPr>
        <w:t>ffidavit sworn by the Presiding Member of the PCC</w:t>
      </w:r>
      <w:r w:rsidR="00CE288C">
        <w:rPr>
          <w:rFonts w:ascii="Calibri" w:eastAsia="Times New Roman" w:hAnsi="Calibri" w:cs="Calibri"/>
          <w:sz w:val="24"/>
          <w:szCs w:val="20"/>
          <w:lang w:val="en-GB"/>
        </w:rPr>
        <w:t xml:space="preserve">, David Murray Quested sworn on 17 August 2020 (Mr </w:t>
      </w:r>
      <w:proofErr w:type="spellStart"/>
      <w:r w:rsidR="00CE288C">
        <w:rPr>
          <w:rFonts w:ascii="Calibri" w:eastAsia="Times New Roman" w:hAnsi="Calibri" w:cs="Calibri"/>
          <w:sz w:val="24"/>
          <w:szCs w:val="20"/>
          <w:lang w:val="en-GB"/>
        </w:rPr>
        <w:t>Quested’s</w:t>
      </w:r>
      <w:proofErr w:type="spellEnd"/>
      <w:r w:rsidR="00CE288C">
        <w:rPr>
          <w:rFonts w:ascii="Calibri" w:eastAsia="Times New Roman" w:hAnsi="Calibri" w:cs="Calibri"/>
          <w:sz w:val="24"/>
          <w:szCs w:val="20"/>
          <w:lang w:val="en-GB"/>
        </w:rPr>
        <w:t xml:space="preserve"> affidavit)</w:t>
      </w:r>
      <w:r w:rsidRPr="00285939">
        <w:rPr>
          <w:rFonts w:ascii="Calibri" w:eastAsia="Times New Roman" w:hAnsi="Calibri" w:cs="Calibri"/>
          <w:sz w:val="24"/>
          <w:szCs w:val="20"/>
          <w:lang w:val="en-GB"/>
        </w:rPr>
        <w:t xml:space="preserve">. </w:t>
      </w:r>
      <w:r w:rsidR="0020074F">
        <w:rPr>
          <w:rFonts w:ascii="Calibri" w:eastAsia="Times New Roman" w:hAnsi="Calibri" w:cs="Calibri"/>
          <w:sz w:val="24"/>
          <w:szCs w:val="20"/>
          <w:lang w:val="en-GB"/>
        </w:rPr>
        <w:t xml:space="preserve"> Ann</w:t>
      </w:r>
      <w:r w:rsidR="003D3664">
        <w:rPr>
          <w:rFonts w:ascii="Calibri" w:eastAsia="Times New Roman" w:hAnsi="Calibri" w:cs="Calibri"/>
          <w:sz w:val="24"/>
          <w:szCs w:val="20"/>
          <w:lang w:val="en-GB"/>
        </w:rPr>
        <w:t>exed to the affidavit</w:t>
      </w:r>
      <w:r w:rsidR="00310115">
        <w:rPr>
          <w:rFonts w:ascii="Calibri" w:eastAsia="Times New Roman" w:hAnsi="Calibri" w:cs="Calibri"/>
          <w:sz w:val="24"/>
          <w:szCs w:val="20"/>
          <w:lang w:val="en-GB"/>
        </w:rPr>
        <w:t xml:space="preserve"> </w:t>
      </w:r>
      <w:r w:rsidR="003D3664">
        <w:rPr>
          <w:rFonts w:ascii="Calibri" w:eastAsia="Times New Roman" w:hAnsi="Calibri" w:cs="Calibri"/>
          <w:sz w:val="24"/>
          <w:szCs w:val="20"/>
          <w:lang w:val="en-GB"/>
        </w:rPr>
        <w:t xml:space="preserve">was a Certified Copy </w:t>
      </w:r>
      <w:r w:rsidR="00F922FE">
        <w:rPr>
          <w:rFonts w:ascii="Calibri" w:eastAsia="Times New Roman" w:hAnsi="Calibri" w:cs="Calibri"/>
          <w:sz w:val="24"/>
          <w:szCs w:val="20"/>
          <w:lang w:val="en-GB"/>
        </w:rPr>
        <w:t>or Extract of the Permanent Court Record (as proof of the convictions)</w:t>
      </w:r>
      <w:r w:rsidR="00F922FE">
        <w:rPr>
          <w:rStyle w:val="FootnoteReference"/>
          <w:rFonts w:ascii="Calibri" w:eastAsia="Times New Roman" w:hAnsi="Calibri" w:cs="Calibri"/>
          <w:sz w:val="24"/>
          <w:szCs w:val="20"/>
          <w:lang w:val="en-GB"/>
        </w:rPr>
        <w:footnoteReference w:id="3"/>
      </w:r>
      <w:r w:rsidR="003D3664">
        <w:rPr>
          <w:rFonts w:ascii="Calibri" w:eastAsia="Times New Roman" w:hAnsi="Calibri" w:cs="Calibri"/>
          <w:sz w:val="24"/>
          <w:szCs w:val="20"/>
          <w:lang w:val="en-GB"/>
        </w:rPr>
        <w:t xml:space="preserve">, the Crown Summary of Facts, </w:t>
      </w:r>
      <w:r w:rsidR="006F48F0">
        <w:rPr>
          <w:rFonts w:ascii="Calibri" w:eastAsia="Times New Roman" w:hAnsi="Calibri" w:cs="Calibri"/>
          <w:sz w:val="24"/>
          <w:szCs w:val="20"/>
          <w:lang w:val="en-GB"/>
        </w:rPr>
        <w:t>Department of Corrections Advice regarding sentencing, a Cultural Report</w:t>
      </w:r>
      <w:r w:rsidR="00C63807">
        <w:rPr>
          <w:rStyle w:val="FootnoteReference"/>
          <w:rFonts w:ascii="Calibri" w:eastAsia="Times New Roman" w:hAnsi="Calibri" w:cs="Calibri"/>
          <w:sz w:val="24"/>
          <w:szCs w:val="20"/>
          <w:lang w:val="en-GB"/>
        </w:rPr>
        <w:footnoteReference w:id="4"/>
      </w:r>
      <w:r w:rsidR="006F48F0">
        <w:rPr>
          <w:rFonts w:ascii="Calibri" w:eastAsia="Times New Roman" w:hAnsi="Calibri" w:cs="Calibri"/>
          <w:sz w:val="24"/>
          <w:szCs w:val="20"/>
          <w:lang w:val="en-GB"/>
        </w:rPr>
        <w:t xml:space="preserve"> and a </w:t>
      </w:r>
      <w:r w:rsidR="004D762A">
        <w:rPr>
          <w:rFonts w:ascii="Calibri" w:eastAsia="Times New Roman" w:hAnsi="Calibri" w:cs="Calibri"/>
          <w:sz w:val="24"/>
          <w:szCs w:val="20"/>
          <w:lang w:val="en-GB"/>
        </w:rPr>
        <w:t>P</w:t>
      </w:r>
      <w:r w:rsidR="006F48F0">
        <w:rPr>
          <w:rFonts w:ascii="Calibri" w:eastAsia="Times New Roman" w:hAnsi="Calibri" w:cs="Calibri"/>
          <w:sz w:val="24"/>
          <w:szCs w:val="20"/>
          <w:lang w:val="en-GB"/>
        </w:rPr>
        <w:t>sychological</w:t>
      </w:r>
      <w:r w:rsidR="006A6ED4">
        <w:rPr>
          <w:rFonts w:ascii="Calibri" w:eastAsia="Times New Roman" w:hAnsi="Calibri" w:cs="Calibri"/>
          <w:sz w:val="24"/>
          <w:szCs w:val="20"/>
          <w:lang w:val="en-GB"/>
        </w:rPr>
        <w:t xml:space="preserve"> Risk Assessment</w:t>
      </w:r>
      <w:r w:rsidR="006F48F0">
        <w:rPr>
          <w:rFonts w:ascii="Calibri" w:eastAsia="Times New Roman" w:hAnsi="Calibri" w:cs="Calibri"/>
          <w:sz w:val="24"/>
          <w:szCs w:val="20"/>
          <w:lang w:val="en-GB"/>
        </w:rPr>
        <w:t xml:space="preserve"> </w:t>
      </w:r>
      <w:r w:rsidR="006A6ED4">
        <w:rPr>
          <w:rFonts w:ascii="Calibri" w:eastAsia="Times New Roman" w:hAnsi="Calibri" w:cs="Calibri"/>
          <w:sz w:val="24"/>
          <w:szCs w:val="20"/>
          <w:lang w:val="en-GB"/>
        </w:rPr>
        <w:t>R</w:t>
      </w:r>
      <w:r w:rsidR="006F48F0">
        <w:rPr>
          <w:rFonts w:ascii="Calibri" w:eastAsia="Times New Roman" w:hAnsi="Calibri" w:cs="Calibri"/>
          <w:sz w:val="24"/>
          <w:szCs w:val="20"/>
          <w:lang w:val="en-GB"/>
        </w:rPr>
        <w:t>eport</w:t>
      </w:r>
      <w:r w:rsidR="006A6ED4">
        <w:rPr>
          <w:rStyle w:val="FootnoteReference"/>
          <w:rFonts w:ascii="Calibri" w:eastAsia="Times New Roman" w:hAnsi="Calibri" w:cs="Calibri"/>
          <w:sz w:val="24"/>
          <w:szCs w:val="20"/>
          <w:lang w:val="en-GB"/>
        </w:rPr>
        <w:footnoteReference w:id="5"/>
      </w:r>
      <w:r w:rsidR="006F48F0">
        <w:rPr>
          <w:rFonts w:ascii="Calibri" w:eastAsia="Times New Roman" w:hAnsi="Calibri" w:cs="Calibri"/>
          <w:sz w:val="24"/>
          <w:szCs w:val="20"/>
          <w:lang w:val="en-GB"/>
        </w:rPr>
        <w:t xml:space="preserve"> in relation to the practitioner prepared for the criminal proceedings, the </w:t>
      </w:r>
      <w:r w:rsidR="009E728A">
        <w:rPr>
          <w:rFonts w:ascii="Calibri" w:eastAsia="Times New Roman" w:hAnsi="Calibri" w:cs="Calibri"/>
          <w:sz w:val="24"/>
          <w:szCs w:val="20"/>
          <w:lang w:val="en-GB"/>
        </w:rPr>
        <w:t>N</w:t>
      </w:r>
      <w:r w:rsidR="006F48F0">
        <w:rPr>
          <w:rFonts w:ascii="Calibri" w:eastAsia="Times New Roman" w:hAnsi="Calibri" w:cs="Calibri"/>
          <w:sz w:val="24"/>
          <w:szCs w:val="20"/>
          <w:lang w:val="en-GB"/>
        </w:rPr>
        <w:t xml:space="preserve">otes of Judge </w:t>
      </w:r>
      <w:r w:rsidR="006C0F59">
        <w:rPr>
          <w:rFonts w:ascii="Calibri" w:eastAsia="Times New Roman" w:hAnsi="Calibri" w:cs="Calibri"/>
          <w:sz w:val="24"/>
          <w:szCs w:val="20"/>
          <w:lang w:val="en-GB"/>
        </w:rPr>
        <w:t xml:space="preserve">CJ </w:t>
      </w:r>
      <w:r w:rsidR="006F48F0">
        <w:rPr>
          <w:rFonts w:ascii="Calibri" w:eastAsia="Times New Roman" w:hAnsi="Calibri" w:cs="Calibri"/>
          <w:sz w:val="24"/>
          <w:szCs w:val="20"/>
          <w:lang w:val="en-GB"/>
        </w:rPr>
        <w:t>Field</w:t>
      </w:r>
      <w:r w:rsidR="009E728A">
        <w:rPr>
          <w:rFonts w:ascii="Calibri" w:eastAsia="Times New Roman" w:hAnsi="Calibri" w:cs="Calibri"/>
          <w:sz w:val="24"/>
          <w:szCs w:val="20"/>
          <w:lang w:val="en-GB"/>
        </w:rPr>
        <w:t xml:space="preserve"> on Sentencing</w:t>
      </w:r>
      <w:r w:rsidR="00310115">
        <w:rPr>
          <w:rFonts w:ascii="Calibri" w:eastAsia="Times New Roman" w:hAnsi="Calibri" w:cs="Calibri"/>
          <w:sz w:val="24"/>
          <w:szCs w:val="20"/>
          <w:lang w:val="en-GB"/>
        </w:rPr>
        <w:t xml:space="preserve">, </w:t>
      </w:r>
      <w:r w:rsidR="004D762A">
        <w:rPr>
          <w:rFonts w:ascii="Calibri" w:eastAsia="Times New Roman" w:hAnsi="Calibri" w:cs="Calibri"/>
          <w:sz w:val="24"/>
          <w:szCs w:val="20"/>
          <w:lang w:val="en-GB"/>
        </w:rPr>
        <w:t xml:space="preserve"> </w:t>
      </w:r>
      <w:r w:rsidR="00310115">
        <w:rPr>
          <w:rFonts w:ascii="Calibri" w:eastAsia="Times New Roman" w:hAnsi="Calibri" w:cs="Calibri"/>
          <w:sz w:val="24"/>
          <w:szCs w:val="20"/>
          <w:lang w:val="en-GB"/>
        </w:rPr>
        <w:t>R</w:t>
      </w:r>
      <w:r w:rsidR="004D762A">
        <w:rPr>
          <w:rFonts w:ascii="Calibri" w:eastAsia="Times New Roman" w:hAnsi="Calibri" w:cs="Calibri"/>
          <w:sz w:val="24"/>
          <w:szCs w:val="20"/>
          <w:lang w:val="en-GB"/>
        </w:rPr>
        <w:t>ulings as to permanent name suppression for the practitioner</w:t>
      </w:r>
      <w:r w:rsidR="005357D5">
        <w:rPr>
          <w:rStyle w:val="FootnoteReference"/>
          <w:rFonts w:ascii="Calibri" w:eastAsia="Times New Roman" w:hAnsi="Calibri" w:cs="Calibri"/>
          <w:sz w:val="24"/>
          <w:szCs w:val="20"/>
          <w:lang w:val="en-GB"/>
        </w:rPr>
        <w:footnoteReference w:id="6"/>
      </w:r>
      <w:r w:rsidR="00310115">
        <w:rPr>
          <w:rFonts w:ascii="Calibri" w:eastAsia="Times New Roman" w:hAnsi="Calibri" w:cs="Calibri"/>
          <w:sz w:val="24"/>
          <w:szCs w:val="20"/>
          <w:lang w:val="en-GB"/>
        </w:rPr>
        <w:t xml:space="preserve">, and Department of Corrections Offender </w:t>
      </w:r>
      <w:r w:rsidR="00C86ED3">
        <w:rPr>
          <w:rFonts w:ascii="Calibri" w:eastAsia="Times New Roman" w:hAnsi="Calibri" w:cs="Calibri"/>
          <w:sz w:val="24"/>
          <w:szCs w:val="20"/>
          <w:lang w:val="en-GB"/>
        </w:rPr>
        <w:t>N</w:t>
      </w:r>
      <w:r w:rsidR="00310115">
        <w:rPr>
          <w:rFonts w:ascii="Calibri" w:eastAsia="Times New Roman" w:hAnsi="Calibri" w:cs="Calibri"/>
          <w:sz w:val="24"/>
          <w:szCs w:val="20"/>
          <w:lang w:val="en-GB"/>
        </w:rPr>
        <w:t>otes</w:t>
      </w:r>
      <w:r w:rsidR="00D80111">
        <w:rPr>
          <w:rFonts w:ascii="Calibri" w:eastAsia="Times New Roman" w:hAnsi="Calibri" w:cs="Calibri"/>
          <w:sz w:val="24"/>
          <w:szCs w:val="20"/>
          <w:lang w:val="en-GB"/>
        </w:rPr>
        <w:t xml:space="preserve"> relating to the practitioner’s compliance with her sentence (dated 6 December 2019)</w:t>
      </w:r>
      <w:r w:rsidR="004D762A">
        <w:rPr>
          <w:rFonts w:ascii="Calibri" w:eastAsia="Times New Roman" w:hAnsi="Calibri" w:cs="Calibri"/>
          <w:sz w:val="24"/>
          <w:szCs w:val="20"/>
          <w:lang w:val="en-GB"/>
        </w:rPr>
        <w:t>.</w:t>
      </w:r>
    </w:p>
    <w:p w14:paraId="7C1B5C5D" w14:textId="77777777" w:rsidR="003D5285" w:rsidRDefault="00563786" w:rsidP="00503028">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Pr>
          <w:rFonts w:ascii="Calibri" w:eastAsia="Times New Roman" w:hAnsi="Calibri" w:cs="Calibri"/>
          <w:sz w:val="24"/>
          <w:szCs w:val="20"/>
          <w:lang w:val="en-GB"/>
        </w:rPr>
        <w:t xml:space="preserve">One of the documents annexed to Mr </w:t>
      </w:r>
      <w:proofErr w:type="spellStart"/>
      <w:r>
        <w:rPr>
          <w:rFonts w:ascii="Calibri" w:eastAsia="Times New Roman" w:hAnsi="Calibri" w:cs="Calibri"/>
          <w:sz w:val="24"/>
          <w:szCs w:val="20"/>
          <w:lang w:val="en-GB"/>
        </w:rPr>
        <w:t>Quested’s</w:t>
      </w:r>
      <w:proofErr w:type="spellEnd"/>
      <w:r>
        <w:rPr>
          <w:rFonts w:ascii="Calibri" w:eastAsia="Times New Roman" w:hAnsi="Calibri" w:cs="Calibri"/>
          <w:sz w:val="24"/>
          <w:szCs w:val="20"/>
          <w:lang w:val="en-GB"/>
        </w:rPr>
        <w:t xml:space="preserve"> affidavit </w:t>
      </w:r>
      <w:r w:rsidR="00A83E8B">
        <w:rPr>
          <w:rFonts w:ascii="Calibri" w:eastAsia="Times New Roman" w:hAnsi="Calibri" w:cs="Calibri"/>
          <w:sz w:val="24"/>
          <w:szCs w:val="20"/>
          <w:lang w:val="en-GB"/>
        </w:rPr>
        <w:t xml:space="preserve">and referred to, </w:t>
      </w:r>
      <w:r>
        <w:rPr>
          <w:rFonts w:ascii="Calibri" w:eastAsia="Times New Roman" w:hAnsi="Calibri" w:cs="Calibri"/>
          <w:sz w:val="24"/>
          <w:szCs w:val="20"/>
          <w:lang w:val="en-GB"/>
        </w:rPr>
        <w:t xml:space="preserve">was a </w:t>
      </w:r>
      <w:r w:rsidR="00E81B04">
        <w:rPr>
          <w:rFonts w:ascii="Calibri" w:eastAsia="Times New Roman" w:hAnsi="Calibri" w:cs="Calibri"/>
          <w:sz w:val="24"/>
          <w:szCs w:val="20"/>
          <w:lang w:val="en-GB"/>
        </w:rPr>
        <w:t xml:space="preserve">document </w:t>
      </w:r>
      <w:r w:rsidR="00E94EE7">
        <w:rPr>
          <w:rFonts w:ascii="Calibri" w:eastAsia="Times New Roman" w:hAnsi="Calibri" w:cs="Calibri"/>
          <w:sz w:val="24"/>
          <w:szCs w:val="20"/>
          <w:lang w:val="en-GB"/>
        </w:rPr>
        <w:t xml:space="preserve">entitled “Draft brief of evidence provided by </w:t>
      </w:r>
      <w:r w:rsidR="00901B24">
        <w:rPr>
          <w:rFonts w:ascii="Calibri" w:eastAsia="Times New Roman" w:hAnsi="Calibri" w:cs="Calibri"/>
          <w:sz w:val="24"/>
          <w:szCs w:val="20"/>
          <w:lang w:val="en-GB"/>
        </w:rPr>
        <w:t>[the practitioner]</w:t>
      </w:r>
      <w:r w:rsidR="00E94EE7">
        <w:rPr>
          <w:rFonts w:ascii="Calibri" w:eastAsia="Times New Roman" w:hAnsi="Calibri" w:cs="Calibri"/>
          <w:sz w:val="24"/>
          <w:szCs w:val="20"/>
          <w:lang w:val="en-GB"/>
        </w:rPr>
        <w:t xml:space="preserve"> on 3 February 2020”. Mr Quested deposed that this document “was prepared by </w:t>
      </w:r>
      <w:r w:rsidR="00466F27">
        <w:rPr>
          <w:rFonts w:ascii="Calibri" w:eastAsia="Times New Roman" w:hAnsi="Calibri" w:cs="Calibri"/>
          <w:sz w:val="24"/>
          <w:szCs w:val="20"/>
          <w:lang w:val="en-GB"/>
        </w:rPr>
        <w:t>[the practitioner’s] criminal defence lawyer in preparation for her criminal trial”. The document was a draft, unsigned and unsworn document that purports to be a brief of evidence</w:t>
      </w:r>
      <w:r w:rsidR="00E233FE">
        <w:rPr>
          <w:rFonts w:ascii="Calibri" w:eastAsia="Times New Roman" w:hAnsi="Calibri" w:cs="Calibri"/>
          <w:sz w:val="24"/>
          <w:szCs w:val="20"/>
          <w:lang w:val="en-GB"/>
        </w:rPr>
        <w:t xml:space="preserve"> from the practitioner</w:t>
      </w:r>
      <w:r w:rsidR="00DC01B6">
        <w:rPr>
          <w:rFonts w:ascii="Calibri" w:eastAsia="Times New Roman" w:hAnsi="Calibri" w:cs="Calibri"/>
          <w:sz w:val="24"/>
          <w:szCs w:val="20"/>
          <w:lang w:val="en-GB"/>
        </w:rPr>
        <w:t>.</w:t>
      </w:r>
      <w:r w:rsidR="003D5285">
        <w:rPr>
          <w:rFonts w:ascii="Calibri" w:eastAsia="Times New Roman" w:hAnsi="Calibri" w:cs="Calibri"/>
          <w:sz w:val="24"/>
          <w:szCs w:val="20"/>
          <w:lang w:val="en-GB"/>
        </w:rPr>
        <w:t xml:space="preserve"> T</w:t>
      </w:r>
      <w:r w:rsidR="00D1514B">
        <w:rPr>
          <w:rFonts w:ascii="Calibri" w:eastAsia="Times New Roman" w:hAnsi="Calibri" w:cs="Calibri"/>
          <w:sz w:val="24"/>
          <w:szCs w:val="20"/>
          <w:lang w:val="en-GB"/>
        </w:rPr>
        <w:t xml:space="preserve">he Tribunal understood the document was not </w:t>
      </w:r>
      <w:r w:rsidR="00A3314D">
        <w:rPr>
          <w:rFonts w:ascii="Calibri" w:eastAsia="Times New Roman" w:hAnsi="Calibri" w:cs="Calibri"/>
          <w:sz w:val="24"/>
          <w:szCs w:val="20"/>
          <w:lang w:val="en-GB"/>
        </w:rPr>
        <w:t xml:space="preserve">finalised or filed in the criminal proceedings as the practitioner pleaded guilty to all the charges she faced. </w:t>
      </w:r>
      <w:r w:rsidR="00E81B04">
        <w:rPr>
          <w:rFonts w:ascii="Calibri" w:eastAsia="Times New Roman" w:hAnsi="Calibri" w:cs="Calibri"/>
          <w:sz w:val="24"/>
          <w:szCs w:val="20"/>
          <w:lang w:val="en-GB"/>
        </w:rPr>
        <w:t xml:space="preserve"> </w:t>
      </w:r>
    </w:p>
    <w:p w14:paraId="798DAC75" w14:textId="19B1AF0C" w:rsidR="00D85A1C" w:rsidRDefault="00285939" w:rsidP="00503028">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sidRPr="00285939">
        <w:rPr>
          <w:rFonts w:ascii="Calibri" w:eastAsia="Times New Roman" w:hAnsi="Calibri" w:cs="Calibri"/>
          <w:sz w:val="24"/>
          <w:szCs w:val="20"/>
          <w:lang w:val="en-GB"/>
        </w:rPr>
        <w:t>The Tribunal</w:t>
      </w:r>
      <w:r w:rsidR="00466F27">
        <w:rPr>
          <w:rFonts w:ascii="Calibri" w:eastAsia="Times New Roman" w:hAnsi="Calibri" w:cs="Calibri"/>
          <w:sz w:val="24"/>
          <w:szCs w:val="20"/>
          <w:lang w:val="en-GB"/>
        </w:rPr>
        <w:t xml:space="preserve"> indicated at the hearing that it</w:t>
      </w:r>
      <w:r w:rsidRPr="00285939">
        <w:rPr>
          <w:rFonts w:ascii="Calibri" w:eastAsia="Times New Roman" w:hAnsi="Calibri" w:cs="Calibri"/>
          <w:sz w:val="24"/>
          <w:szCs w:val="20"/>
          <w:lang w:val="en-GB"/>
        </w:rPr>
        <w:t xml:space="preserve"> </w:t>
      </w:r>
      <w:r w:rsidR="001D5F52">
        <w:rPr>
          <w:rFonts w:ascii="Calibri" w:eastAsia="Times New Roman" w:hAnsi="Calibri" w:cs="Calibri"/>
          <w:sz w:val="24"/>
          <w:szCs w:val="20"/>
          <w:lang w:val="en-GB"/>
        </w:rPr>
        <w:t>would disregard that document</w:t>
      </w:r>
      <w:r w:rsidR="00352108">
        <w:rPr>
          <w:rFonts w:ascii="Calibri" w:eastAsia="Times New Roman" w:hAnsi="Calibri" w:cs="Calibri"/>
          <w:sz w:val="24"/>
          <w:szCs w:val="20"/>
          <w:lang w:val="en-GB"/>
        </w:rPr>
        <w:t>.</w:t>
      </w:r>
      <w:r w:rsidR="00352108" w:rsidRPr="00285939">
        <w:rPr>
          <w:rFonts w:ascii="Calibri" w:eastAsia="Times New Roman" w:hAnsi="Calibri" w:cs="Calibri"/>
          <w:sz w:val="24"/>
          <w:szCs w:val="20"/>
          <w:lang w:val="en-GB"/>
        </w:rPr>
        <w:t xml:space="preserve"> </w:t>
      </w:r>
      <w:r w:rsidR="002013D6">
        <w:rPr>
          <w:rFonts w:ascii="Calibri" w:eastAsia="Times New Roman" w:hAnsi="Calibri" w:cs="Calibri"/>
          <w:sz w:val="24"/>
          <w:szCs w:val="20"/>
          <w:lang w:val="en-GB"/>
        </w:rPr>
        <w:t>T</w:t>
      </w:r>
      <w:r w:rsidR="001E69A1">
        <w:rPr>
          <w:rFonts w:ascii="Calibri" w:eastAsia="Times New Roman" w:hAnsi="Calibri" w:cs="Calibri"/>
          <w:sz w:val="24"/>
          <w:szCs w:val="20"/>
          <w:lang w:val="en-GB"/>
        </w:rPr>
        <w:t>he Tribunal</w:t>
      </w:r>
      <w:r w:rsidR="006C3FEC">
        <w:rPr>
          <w:rFonts w:ascii="Calibri" w:eastAsia="Times New Roman" w:hAnsi="Calibri" w:cs="Calibri"/>
          <w:sz w:val="24"/>
          <w:szCs w:val="20"/>
          <w:lang w:val="en-GB"/>
        </w:rPr>
        <w:t xml:space="preserve"> was concerned</w:t>
      </w:r>
      <w:r w:rsidR="000C4B84">
        <w:rPr>
          <w:rFonts w:ascii="Calibri" w:eastAsia="Times New Roman" w:hAnsi="Calibri" w:cs="Calibri"/>
          <w:sz w:val="24"/>
          <w:szCs w:val="20"/>
          <w:lang w:val="en-GB"/>
        </w:rPr>
        <w:t xml:space="preserve"> that reliance was sought to be placed on it by the PCC given</w:t>
      </w:r>
      <w:r w:rsidR="00165CB7">
        <w:rPr>
          <w:rFonts w:ascii="Calibri" w:eastAsia="Times New Roman" w:hAnsi="Calibri" w:cs="Calibri"/>
          <w:sz w:val="24"/>
          <w:szCs w:val="20"/>
          <w:lang w:val="en-GB"/>
        </w:rPr>
        <w:t xml:space="preserve"> its form</w:t>
      </w:r>
      <w:r w:rsidR="002013D6">
        <w:rPr>
          <w:rFonts w:ascii="Calibri" w:eastAsia="Times New Roman" w:hAnsi="Calibri" w:cs="Calibri"/>
          <w:sz w:val="24"/>
          <w:szCs w:val="20"/>
          <w:lang w:val="en-GB"/>
        </w:rPr>
        <w:t>.</w:t>
      </w:r>
      <w:r w:rsidR="00326312">
        <w:rPr>
          <w:rFonts w:ascii="Calibri" w:eastAsia="Times New Roman" w:hAnsi="Calibri" w:cs="Calibri"/>
          <w:sz w:val="24"/>
          <w:szCs w:val="20"/>
          <w:lang w:val="en-GB"/>
        </w:rPr>
        <w:t xml:space="preserve"> </w:t>
      </w:r>
      <w:r w:rsidR="002D0964">
        <w:rPr>
          <w:rFonts w:ascii="Calibri" w:eastAsia="Times New Roman" w:hAnsi="Calibri" w:cs="Calibri"/>
          <w:sz w:val="24"/>
          <w:szCs w:val="20"/>
          <w:lang w:val="en-GB"/>
        </w:rPr>
        <w:t xml:space="preserve">Further, if the practitioner </w:t>
      </w:r>
      <w:r w:rsidR="00BE5478">
        <w:rPr>
          <w:rFonts w:ascii="Calibri" w:eastAsia="Times New Roman" w:hAnsi="Calibri" w:cs="Calibri"/>
          <w:sz w:val="24"/>
          <w:szCs w:val="20"/>
          <w:lang w:val="en-GB"/>
        </w:rPr>
        <w:t xml:space="preserve">had </w:t>
      </w:r>
      <w:r w:rsidR="002D0964">
        <w:rPr>
          <w:rFonts w:ascii="Calibri" w:eastAsia="Times New Roman" w:hAnsi="Calibri" w:cs="Calibri"/>
          <w:sz w:val="24"/>
          <w:szCs w:val="20"/>
          <w:lang w:val="en-GB"/>
        </w:rPr>
        <w:t xml:space="preserve">wanted </w:t>
      </w:r>
      <w:r w:rsidR="003063A0">
        <w:rPr>
          <w:rFonts w:ascii="Calibri" w:eastAsia="Times New Roman" w:hAnsi="Calibri" w:cs="Calibri"/>
          <w:sz w:val="24"/>
          <w:szCs w:val="20"/>
          <w:lang w:val="en-GB"/>
        </w:rPr>
        <w:t>the information in that document to be taken into account</w:t>
      </w:r>
      <w:r w:rsidR="006359E8">
        <w:rPr>
          <w:rFonts w:ascii="Calibri" w:eastAsia="Times New Roman" w:hAnsi="Calibri" w:cs="Calibri"/>
          <w:sz w:val="24"/>
          <w:szCs w:val="20"/>
          <w:lang w:val="en-GB"/>
        </w:rPr>
        <w:t xml:space="preserve"> by the Tribunal</w:t>
      </w:r>
      <w:r w:rsidR="001C72DB">
        <w:rPr>
          <w:rFonts w:ascii="Calibri" w:eastAsia="Times New Roman" w:hAnsi="Calibri" w:cs="Calibri"/>
          <w:sz w:val="24"/>
          <w:szCs w:val="20"/>
          <w:lang w:val="en-GB"/>
        </w:rPr>
        <w:t>,</w:t>
      </w:r>
      <w:r w:rsidR="003063A0">
        <w:rPr>
          <w:rFonts w:ascii="Calibri" w:eastAsia="Times New Roman" w:hAnsi="Calibri" w:cs="Calibri"/>
          <w:sz w:val="24"/>
          <w:szCs w:val="20"/>
          <w:lang w:val="en-GB"/>
        </w:rPr>
        <w:t xml:space="preserve"> she could have sworn an affidavit</w:t>
      </w:r>
      <w:r w:rsidR="00BB45AA">
        <w:rPr>
          <w:rFonts w:ascii="Calibri" w:eastAsia="Times New Roman" w:hAnsi="Calibri" w:cs="Calibri"/>
          <w:sz w:val="24"/>
          <w:szCs w:val="20"/>
          <w:lang w:val="en-GB"/>
        </w:rPr>
        <w:t xml:space="preserve"> or made arrangements to attend the hearing, held as it was by AVL. </w:t>
      </w:r>
      <w:r w:rsidR="00282C64">
        <w:rPr>
          <w:rFonts w:ascii="Calibri" w:eastAsia="Times New Roman" w:hAnsi="Calibri" w:cs="Calibri"/>
          <w:sz w:val="24"/>
          <w:szCs w:val="20"/>
          <w:lang w:val="en-GB"/>
        </w:rPr>
        <w:t>No attempt had been made by the practitioner to swear the document</w:t>
      </w:r>
      <w:r w:rsidR="004D037C">
        <w:rPr>
          <w:rFonts w:ascii="Calibri" w:eastAsia="Times New Roman" w:hAnsi="Calibri" w:cs="Calibri"/>
          <w:sz w:val="24"/>
          <w:szCs w:val="20"/>
          <w:lang w:val="en-GB"/>
        </w:rPr>
        <w:t xml:space="preserve"> and she did not attend the hearing. For those reasons</w:t>
      </w:r>
      <w:r w:rsidR="0009601C">
        <w:rPr>
          <w:rFonts w:ascii="Calibri" w:eastAsia="Times New Roman" w:hAnsi="Calibri" w:cs="Calibri"/>
          <w:sz w:val="24"/>
          <w:szCs w:val="20"/>
          <w:lang w:val="en-GB"/>
        </w:rPr>
        <w:t>,</w:t>
      </w:r>
      <w:r w:rsidR="004D037C">
        <w:rPr>
          <w:rFonts w:ascii="Calibri" w:eastAsia="Times New Roman" w:hAnsi="Calibri" w:cs="Calibri"/>
          <w:sz w:val="24"/>
          <w:szCs w:val="20"/>
          <w:lang w:val="en-GB"/>
        </w:rPr>
        <w:t xml:space="preserve"> the Tribunal had significant concerns</w:t>
      </w:r>
      <w:r w:rsidR="00C640F4">
        <w:rPr>
          <w:rFonts w:ascii="Calibri" w:eastAsia="Times New Roman" w:hAnsi="Calibri" w:cs="Calibri"/>
          <w:sz w:val="24"/>
          <w:szCs w:val="20"/>
          <w:lang w:val="en-GB"/>
        </w:rPr>
        <w:t xml:space="preserve"> about the process by which the </w:t>
      </w:r>
      <w:r w:rsidR="00C640F4">
        <w:rPr>
          <w:rFonts w:ascii="Calibri" w:eastAsia="Times New Roman" w:hAnsi="Calibri" w:cs="Calibri"/>
          <w:sz w:val="24"/>
          <w:szCs w:val="20"/>
          <w:lang w:val="en-GB"/>
        </w:rPr>
        <w:lastRenderedPageBreak/>
        <w:t>document was sought to be placed before the Tribunal</w:t>
      </w:r>
      <w:r w:rsidR="001D5F52">
        <w:rPr>
          <w:rFonts w:ascii="Calibri" w:eastAsia="Times New Roman" w:hAnsi="Calibri" w:cs="Calibri"/>
          <w:sz w:val="24"/>
          <w:szCs w:val="20"/>
          <w:lang w:val="en-GB"/>
        </w:rPr>
        <w:t>, its reliability,</w:t>
      </w:r>
      <w:r w:rsidR="00196287">
        <w:rPr>
          <w:rFonts w:ascii="Calibri" w:eastAsia="Times New Roman" w:hAnsi="Calibri" w:cs="Calibri"/>
          <w:sz w:val="24"/>
          <w:szCs w:val="20"/>
          <w:lang w:val="en-GB"/>
        </w:rPr>
        <w:t xml:space="preserve"> and what, if any weight could be placed on its contents</w:t>
      </w:r>
      <w:r w:rsidR="00C640F4">
        <w:rPr>
          <w:rFonts w:ascii="Calibri" w:eastAsia="Times New Roman" w:hAnsi="Calibri" w:cs="Calibri"/>
          <w:sz w:val="24"/>
          <w:szCs w:val="20"/>
          <w:lang w:val="en-GB"/>
        </w:rPr>
        <w:t xml:space="preserve">. </w:t>
      </w:r>
    </w:p>
    <w:p w14:paraId="0B484D01" w14:textId="376D8705" w:rsidR="00171F3F" w:rsidRPr="00285939" w:rsidRDefault="00D85A1C" w:rsidP="00171F3F">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Pr>
          <w:rFonts w:ascii="Calibri" w:eastAsia="Times New Roman" w:hAnsi="Calibri" w:cs="Calibri"/>
          <w:sz w:val="24"/>
          <w:szCs w:val="20"/>
          <w:lang w:val="en-GB"/>
        </w:rPr>
        <w:t>T</w:t>
      </w:r>
      <w:r w:rsidRPr="00285939">
        <w:rPr>
          <w:rFonts w:ascii="Calibri" w:eastAsia="Times New Roman" w:hAnsi="Calibri" w:cs="Calibri"/>
          <w:sz w:val="24"/>
          <w:szCs w:val="20"/>
          <w:lang w:val="en-GB"/>
        </w:rPr>
        <w:t>he Tribunal is statutorily obliged to conduct a hearing</w:t>
      </w:r>
      <w:r>
        <w:rPr>
          <w:rFonts w:ascii="Calibri" w:eastAsia="Times New Roman" w:hAnsi="Calibri" w:cs="Calibri"/>
          <w:sz w:val="24"/>
          <w:szCs w:val="20"/>
          <w:lang w:val="en-GB"/>
        </w:rPr>
        <w:t xml:space="preserve"> into the Charge</w:t>
      </w:r>
      <w:r w:rsidRPr="00285939">
        <w:rPr>
          <w:rFonts w:ascii="Calibri" w:eastAsia="Times New Roman" w:hAnsi="Calibri" w:cs="Calibri"/>
          <w:sz w:val="24"/>
          <w:szCs w:val="20"/>
          <w:lang w:val="en-GB"/>
        </w:rPr>
        <w:t xml:space="preserve"> that observes the rules of natural justice</w:t>
      </w:r>
      <w:r w:rsidRPr="00285939">
        <w:rPr>
          <w:rFonts w:ascii="Calibri" w:eastAsia="Times New Roman" w:hAnsi="Calibri" w:cs="Calibri"/>
          <w:sz w:val="24"/>
          <w:szCs w:val="20"/>
          <w:vertAlign w:val="superscript"/>
          <w:lang w:val="en-GB"/>
        </w:rPr>
        <w:footnoteReference w:id="7"/>
      </w:r>
      <w:r w:rsidRPr="00285939">
        <w:rPr>
          <w:rFonts w:ascii="Calibri" w:eastAsia="Times New Roman" w:hAnsi="Calibri" w:cs="Calibri"/>
          <w:sz w:val="24"/>
          <w:szCs w:val="20"/>
          <w:lang w:val="en-GB"/>
        </w:rPr>
        <w:t>.</w:t>
      </w:r>
      <w:r w:rsidRPr="00D85A1C">
        <w:rPr>
          <w:rFonts w:ascii="Calibri" w:eastAsia="Times New Roman" w:hAnsi="Calibri" w:cs="Calibri"/>
          <w:sz w:val="24"/>
          <w:szCs w:val="20"/>
          <w:lang w:val="en-GB"/>
        </w:rPr>
        <w:t xml:space="preserve"> </w:t>
      </w:r>
      <w:r w:rsidR="00171F3F">
        <w:rPr>
          <w:rFonts w:ascii="Calibri" w:eastAsia="Times New Roman" w:hAnsi="Calibri" w:cs="Calibri"/>
          <w:sz w:val="24"/>
          <w:szCs w:val="20"/>
          <w:lang w:val="en-GB"/>
        </w:rPr>
        <w:t xml:space="preserve">The </w:t>
      </w:r>
      <w:r w:rsidR="00171F3F" w:rsidRPr="00285939">
        <w:rPr>
          <w:rFonts w:ascii="Calibri" w:eastAsia="Times New Roman" w:hAnsi="Calibri" w:cs="Calibri"/>
          <w:sz w:val="24"/>
          <w:szCs w:val="20"/>
          <w:lang w:val="en-GB"/>
        </w:rPr>
        <w:t>Tribunal was mindful that the Evidence Act 2006 applies as if the Tribunal were a court within the meaning of that Act (subject to the Tribunal’s discretion</w:t>
      </w:r>
      <w:r w:rsidR="00171F3F">
        <w:rPr>
          <w:rFonts w:ascii="Calibri" w:eastAsia="Times New Roman" w:hAnsi="Calibri" w:cs="Calibri"/>
          <w:sz w:val="24"/>
          <w:szCs w:val="20"/>
          <w:lang w:val="en-GB"/>
        </w:rPr>
        <w:t xml:space="preserve"> in Clause 6</w:t>
      </w:r>
      <w:r w:rsidR="0007133D">
        <w:rPr>
          <w:rFonts w:ascii="Calibri" w:eastAsia="Times New Roman" w:hAnsi="Calibri" w:cs="Calibri"/>
          <w:sz w:val="24"/>
          <w:szCs w:val="20"/>
          <w:lang w:val="en-GB"/>
        </w:rPr>
        <w:t>(1) of Schedule 2 to the SWR Act</w:t>
      </w:r>
      <w:r w:rsidR="00171F3F" w:rsidRPr="00285939">
        <w:rPr>
          <w:rFonts w:ascii="Calibri" w:eastAsia="Times New Roman" w:hAnsi="Calibri" w:cs="Calibri"/>
          <w:sz w:val="24"/>
          <w:szCs w:val="20"/>
          <w:lang w:val="en-GB"/>
        </w:rPr>
        <w:t xml:space="preserve"> to receive in evidence any statement, document, information or matter that may in its opinion assist it to deal effectively with the matters before it, whether or not it would be admissible in a court of law)</w:t>
      </w:r>
      <w:r w:rsidR="00171F3F" w:rsidRPr="00285939">
        <w:rPr>
          <w:rFonts w:ascii="Calibri" w:eastAsia="Times New Roman" w:hAnsi="Calibri" w:cs="Calibri"/>
          <w:sz w:val="24"/>
          <w:szCs w:val="20"/>
          <w:vertAlign w:val="superscript"/>
          <w:lang w:val="en-GB"/>
        </w:rPr>
        <w:footnoteReference w:id="8"/>
      </w:r>
      <w:r w:rsidR="00171F3F" w:rsidRPr="00285939">
        <w:rPr>
          <w:rFonts w:ascii="Calibri" w:eastAsia="Times New Roman" w:hAnsi="Calibri" w:cs="Calibri"/>
          <w:sz w:val="24"/>
          <w:szCs w:val="20"/>
          <w:lang w:val="en-GB"/>
        </w:rPr>
        <w:t xml:space="preserve">. </w:t>
      </w:r>
    </w:p>
    <w:p w14:paraId="45C2AA20" w14:textId="77777777" w:rsidR="00506E92" w:rsidRDefault="00D85A1C" w:rsidP="00503028">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Pr>
          <w:rFonts w:ascii="Calibri" w:eastAsia="Times New Roman" w:hAnsi="Calibri" w:cs="Calibri"/>
          <w:sz w:val="24"/>
          <w:szCs w:val="20"/>
          <w:lang w:val="en-GB"/>
        </w:rPr>
        <w:t>As to the applicability of the Evidence Act</w:t>
      </w:r>
      <w:r w:rsidR="0007133D">
        <w:rPr>
          <w:rFonts w:ascii="Calibri" w:eastAsia="Times New Roman" w:hAnsi="Calibri" w:cs="Calibri"/>
          <w:sz w:val="24"/>
          <w:szCs w:val="20"/>
          <w:lang w:val="en-GB"/>
        </w:rPr>
        <w:t xml:space="preserve"> 2005</w:t>
      </w:r>
      <w:r>
        <w:rPr>
          <w:rFonts w:ascii="Calibri" w:eastAsia="Times New Roman" w:hAnsi="Calibri" w:cs="Calibri"/>
          <w:sz w:val="24"/>
          <w:szCs w:val="20"/>
          <w:lang w:val="en-GB"/>
        </w:rPr>
        <w:t xml:space="preserve"> the grounds for accepting hearsay evidence are not met for the document to be accepted. </w:t>
      </w:r>
      <w:r w:rsidR="00270D02">
        <w:rPr>
          <w:rFonts w:ascii="Calibri" w:eastAsia="Times New Roman" w:hAnsi="Calibri" w:cs="Calibri"/>
          <w:sz w:val="24"/>
          <w:szCs w:val="20"/>
          <w:lang w:val="en-GB"/>
        </w:rPr>
        <w:t>Further, t</w:t>
      </w:r>
      <w:r w:rsidR="0009601C">
        <w:rPr>
          <w:rFonts w:ascii="Calibri" w:eastAsia="Times New Roman" w:hAnsi="Calibri" w:cs="Calibri"/>
          <w:sz w:val="24"/>
          <w:szCs w:val="20"/>
          <w:lang w:val="en-GB"/>
        </w:rPr>
        <w:t>he Tribunal formed the view</w:t>
      </w:r>
      <w:r w:rsidR="000B2D0F">
        <w:rPr>
          <w:rFonts w:ascii="Calibri" w:eastAsia="Times New Roman" w:hAnsi="Calibri" w:cs="Calibri"/>
          <w:sz w:val="24"/>
          <w:szCs w:val="20"/>
          <w:lang w:val="en-GB"/>
        </w:rPr>
        <w:t xml:space="preserve"> </w:t>
      </w:r>
      <w:r w:rsidR="0009601C">
        <w:rPr>
          <w:rFonts w:ascii="Calibri" w:eastAsia="Times New Roman" w:hAnsi="Calibri" w:cs="Calibri"/>
          <w:sz w:val="24"/>
          <w:szCs w:val="20"/>
          <w:lang w:val="en-GB"/>
        </w:rPr>
        <w:t>that the document would not in any way</w:t>
      </w:r>
      <w:r w:rsidR="00955189">
        <w:rPr>
          <w:rFonts w:ascii="Calibri" w:eastAsia="Times New Roman" w:hAnsi="Calibri" w:cs="Calibri"/>
          <w:sz w:val="24"/>
          <w:szCs w:val="20"/>
          <w:lang w:val="en-GB"/>
        </w:rPr>
        <w:t xml:space="preserve"> assist it to deal effectively with the matters before it and therefore the exemption in </w:t>
      </w:r>
      <w:r w:rsidR="00844331">
        <w:rPr>
          <w:rFonts w:ascii="Calibri" w:eastAsia="Times New Roman" w:hAnsi="Calibri" w:cs="Calibri"/>
          <w:sz w:val="24"/>
          <w:szCs w:val="20"/>
          <w:lang w:val="en-GB"/>
        </w:rPr>
        <w:t>Clause 6(1)</w:t>
      </w:r>
      <w:r w:rsidR="00506E92">
        <w:rPr>
          <w:rFonts w:ascii="Calibri" w:eastAsia="Times New Roman" w:hAnsi="Calibri" w:cs="Calibri"/>
          <w:sz w:val="24"/>
          <w:szCs w:val="20"/>
          <w:lang w:val="en-GB"/>
        </w:rPr>
        <w:t xml:space="preserve"> of Schedule 2</w:t>
      </w:r>
      <w:r w:rsidR="00B32163">
        <w:rPr>
          <w:rFonts w:ascii="Calibri" w:eastAsia="Times New Roman" w:hAnsi="Calibri" w:cs="Calibri"/>
          <w:sz w:val="24"/>
          <w:szCs w:val="20"/>
          <w:lang w:val="en-GB"/>
        </w:rPr>
        <w:t xml:space="preserve"> would not apply.</w:t>
      </w:r>
      <w:r w:rsidR="00B72976">
        <w:rPr>
          <w:rFonts w:ascii="Calibri" w:eastAsia="Times New Roman" w:hAnsi="Calibri" w:cs="Calibri"/>
          <w:sz w:val="24"/>
          <w:szCs w:val="20"/>
          <w:lang w:val="en-GB"/>
        </w:rPr>
        <w:t xml:space="preserve"> </w:t>
      </w:r>
    </w:p>
    <w:p w14:paraId="09373FD4" w14:textId="6F49C654" w:rsidR="00285939" w:rsidRPr="00285939" w:rsidRDefault="00270D02" w:rsidP="00503028">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Pr>
          <w:rFonts w:ascii="Calibri" w:eastAsia="Times New Roman" w:hAnsi="Calibri" w:cs="Calibri"/>
          <w:sz w:val="24"/>
          <w:szCs w:val="20"/>
          <w:lang w:val="en-GB"/>
        </w:rPr>
        <w:t>For those reasons,</w:t>
      </w:r>
      <w:r w:rsidR="00503028">
        <w:rPr>
          <w:rFonts w:ascii="Calibri" w:eastAsia="Times New Roman" w:hAnsi="Calibri" w:cs="Calibri"/>
          <w:sz w:val="24"/>
          <w:szCs w:val="20"/>
          <w:lang w:val="en-GB"/>
        </w:rPr>
        <w:t xml:space="preserve"> the Tribunal disregarded the draft brief of evidence of the practitioner. T</w:t>
      </w:r>
      <w:r w:rsidR="000B2D0F" w:rsidRPr="00503028">
        <w:rPr>
          <w:rFonts w:ascii="Calibri" w:eastAsia="Times New Roman" w:hAnsi="Calibri" w:cs="Calibri"/>
          <w:sz w:val="24"/>
          <w:szCs w:val="20"/>
          <w:lang w:val="en-GB"/>
        </w:rPr>
        <w:t>he Tribunal reached its decision</w:t>
      </w:r>
      <w:r w:rsidR="006E68D8" w:rsidRPr="00503028">
        <w:rPr>
          <w:rFonts w:ascii="Calibri" w:eastAsia="Times New Roman" w:hAnsi="Calibri" w:cs="Calibri"/>
          <w:sz w:val="24"/>
          <w:szCs w:val="20"/>
          <w:lang w:val="en-GB"/>
        </w:rPr>
        <w:t xml:space="preserve"> </w:t>
      </w:r>
      <w:r w:rsidR="0049729D">
        <w:rPr>
          <w:rFonts w:ascii="Calibri" w:eastAsia="Times New Roman" w:hAnsi="Calibri" w:cs="Calibri"/>
          <w:sz w:val="24"/>
          <w:szCs w:val="20"/>
          <w:lang w:val="en-GB"/>
        </w:rPr>
        <w:t xml:space="preserve">in this case </w:t>
      </w:r>
      <w:r>
        <w:rPr>
          <w:rFonts w:ascii="Calibri" w:eastAsia="Times New Roman" w:hAnsi="Calibri" w:cs="Calibri"/>
          <w:sz w:val="24"/>
          <w:szCs w:val="20"/>
          <w:lang w:val="en-GB"/>
        </w:rPr>
        <w:t>based on</w:t>
      </w:r>
      <w:r w:rsidR="006E68D8" w:rsidRPr="00503028">
        <w:rPr>
          <w:rFonts w:ascii="Calibri" w:eastAsia="Times New Roman" w:hAnsi="Calibri" w:cs="Calibri"/>
          <w:sz w:val="24"/>
          <w:szCs w:val="20"/>
          <w:lang w:val="en-GB"/>
        </w:rPr>
        <w:t xml:space="preserve"> </w:t>
      </w:r>
      <w:r w:rsidR="00EB45F2" w:rsidRPr="00503028">
        <w:rPr>
          <w:rFonts w:ascii="Calibri" w:eastAsia="Times New Roman" w:hAnsi="Calibri" w:cs="Calibri"/>
          <w:sz w:val="24"/>
          <w:szCs w:val="20"/>
          <w:lang w:val="en-GB"/>
        </w:rPr>
        <w:t xml:space="preserve">the </w:t>
      </w:r>
      <w:r w:rsidR="006E68D8" w:rsidRPr="00503028">
        <w:rPr>
          <w:rFonts w:ascii="Calibri" w:eastAsia="Times New Roman" w:hAnsi="Calibri" w:cs="Calibri"/>
          <w:sz w:val="24"/>
          <w:szCs w:val="20"/>
          <w:lang w:val="en-GB"/>
        </w:rPr>
        <w:t>other material</w:t>
      </w:r>
      <w:r w:rsidR="00EB45F2" w:rsidRPr="00503028">
        <w:rPr>
          <w:rFonts w:ascii="Calibri" w:eastAsia="Times New Roman" w:hAnsi="Calibri" w:cs="Calibri"/>
          <w:sz w:val="24"/>
          <w:szCs w:val="20"/>
          <w:lang w:val="en-GB"/>
        </w:rPr>
        <w:t xml:space="preserve"> in Mr </w:t>
      </w:r>
      <w:proofErr w:type="spellStart"/>
      <w:r w:rsidR="00EB45F2" w:rsidRPr="00503028">
        <w:rPr>
          <w:rFonts w:ascii="Calibri" w:eastAsia="Times New Roman" w:hAnsi="Calibri" w:cs="Calibri"/>
          <w:sz w:val="24"/>
          <w:szCs w:val="20"/>
          <w:lang w:val="en-GB"/>
        </w:rPr>
        <w:t>Quested’s</w:t>
      </w:r>
      <w:proofErr w:type="spellEnd"/>
      <w:r w:rsidR="00EB45F2" w:rsidRPr="00503028">
        <w:rPr>
          <w:rFonts w:ascii="Calibri" w:eastAsia="Times New Roman" w:hAnsi="Calibri" w:cs="Calibri"/>
          <w:sz w:val="24"/>
          <w:szCs w:val="20"/>
          <w:lang w:val="en-GB"/>
        </w:rPr>
        <w:t xml:space="preserve"> affidavit</w:t>
      </w:r>
      <w:r w:rsidR="00373D7E">
        <w:rPr>
          <w:rFonts w:ascii="Calibri" w:eastAsia="Times New Roman" w:hAnsi="Calibri" w:cs="Calibri"/>
          <w:sz w:val="24"/>
          <w:szCs w:val="20"/>
          <w:lang w:val="en-GB"/>
        </w:rPr>
        <w:t xml:space="preserve">. </w:t>
      </w:r>
      <w:r w:rsidR="00171F3F">
        <w:rPr>
          <w:rFonts w:ascii="Calibri" w:eastAsia="Times New Roman" w:hAnsi="Calibri" w:cs="Calibri"/>
          <w:sz w:val="24"/>
          <w:szCs w:val="20"/>
          <w:lang w:val="en-GB"/>
        </w:rPr>
        <w:t>In this regard s</w:t>
      </w:r>
      <w:r w:rsidR="00373D7E">
        <w:rPr>
          <w:rFonts w:ascii="Calibri" w:eastAsia="Times New Roman" w:hAnsi="Calibri" w:cs="Calibri"/>
          <w:sz w:val="24"/>
          <w:szCs w:val="20"/>
          <w:lang w:val="en-GB"/>
        </w:rPr>
        <w:t xml:space="preserve">ome weight </w:t>
      </w:r>
      <w:r w:rsidR="00171F3F">
        <w:rPr>
          <w:rFonts w:ascii="Calibri" w:eastAsia="Times New Roman" w:hAnsi="Calibri" w:cs="Calibri"/>
          <w:sz w:val="24"/>
          <w:szCs w:val="20"/>
          <w:lang w:val="en-GB"/>
        </w:rPr>
        <w:t>was</w:t>
      </w:r>
      <w:r w:rsidR="00373D7E">
        <w:rPr>
          <w:rFonts w:ascii="Calibri" w:eastAsia="Times New Roman" w:hAnsi="Calibri" w:cs="Calibri"/>
          <w:sz w:val="24"/>
          <w:szCs w:val="20"/>
          <w:lang w:val="en-GB"/>
        </w:rPr>
        <w:t xml:space="preserve"> placed on</w:t>
      </w:r>
      <w:r w:rsidR="00EB45F2" w:rsidRPr="00503028">
        <w:rPr>
          <w:rFonts w:ascii="Calibri" w:eastAsia="Times New Roman" w:hAnsi="Calibri" w:cs="Calibri"/>
          <w:sz w:val="24"/>
          <w:szCs w:val="20"/>
          <w:lang w:val="en-GB"/>
        </w:rPr>
        <w:t xml:space="preserve"> the </w:t>
      </w:r>
      <w:r w:rsidR="001123C1" w:rsidRPr="00503028">
        <w:rPr>
          <w:rFonts w:ascii="Calibri" w:eastAsia="Times New Roman" w:hAnsi="Calibri" w:cs="Calibri"/>
          <w:sz w:val="24"/>
          <w:szCs w:val="20"/>
          <w:lang w:val="en-GB"/>
        </w:rPr>
        <w:t>practitioner</w:t>
      </w:r>
      <w:r w:rsidR="003240BC" w:rsidRPr="00503028">
        <w:rPr>
          <w:rFonts w:ascii="Calibri" w:eastAsia="Times New Roman" w:hAnsi="Calibri" w:cs="Calibri"/>
          <w:sz w:val="24"/>
          <w:szCs w:val="20"/>
          <w:lang w:val="en-GB"/>
        </w:rPr>
        <w:t>’s confirmed transcript</w:t>
      </w:r>
      <w:r w:rsidR="00086282" w:rsidRPr="00503028">
        <w:rPr>
          <w:rFonts w:ascii="Calibri" w:eastAsia="Times New Roman" w:hAnsi="Calibri" w:cs="Calibri"/>
          <w:sz w:val="24"/>
          <w:szCs w:val="20"/>
          <w:lang w:val="en-GB"/>
        </w:rPr>
        <w:t xml:space="preserve"> of her interview with the PCC</w:t>
      </w:r>
      <w:r w:rsidR="00517251">
        <w:rPr>
          <w:rStyle w:val="FootnoteReference"/>
          <w:rFonts w:ascii="Calibri" w:eastAsia="Times New Roman" w:hAnsi="Calibri" w:cs="Calibri"/>
          <w:sz w:val="24"/>
          <w:szCs w:val="20"/>
          <w:lang w:val="en-GB"/>
        </w:rPr>
        <w:footnoteReference w:id="9"/>
      </w:r>
      <w:r w:rsidR="00171F3F">
        <w:rPr>
          <w:rFonts w:ascii="Calibri" w:eastAsia="Times New Roman" w:hAnsi="Calibri" w:cs="Calibri"/>
          <w:sz w:val="24"/>
          <w:szCs w:val="20"/>
          <w:lang w:val="en-GB"/>
        </w:rPr>
        <w:t xml:space="preserve"> notwithstanding that too is hearsay.</w:t>
      </w:r>
    </w:p>
    <w:p w14:paraId="0C73F0A0" w14:textId="657334C4" w:rsidR="00285939" w:rsidRDefault="00285939" w:rsidP="00285939">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sidRPr="00285939">
        <w:rPr>
          <w:rFonts w:ascii="Calibri" w:eastAsia="Times New Roman" w:hAnsi="Calibri" w:cs="Calibri"/>
          <w:sz w:val="24"/>
          <w:szCs w:val="20"/>
          <w:lang w:val="en-GB"/>
        </w:rPr>
        <w:t xml:space="preserve">Counsel for the PCC made submissions in relation to the Board’s Code of Conduct and the Board’s Fit and Proper Person Policy. These documents were not included in the Agreed Bundle of Documents. During the hearing, the Tribunal asked Counsel to provide copies of these documents to the Tribunal and these were then produced to the Tribunal. </w:t>
      </w:r>
      <w:r w:rsidR="000914A9">
        <w:rPr>
          <w:rFonts w:ascii="Calibri" w:eastAsia="Times New Roman" w:hAnsi="Calibri" w:cs="Calibri"/>
          <w:sz w:val="24"/>
          <w:szCs w:val="20"/>
          <w:lang w:val="en-GB"/>
        </w:rPr>
        <w:t xml:space="preserve">As was indicated in </w:t>
      </w:r>
      <w:r w:rsidR="00434E89">
        <w:rPr>
          <w:rFonts w:ascii="Calibri" w:eastAsia="Times New Roman" w:hAnsi="Calibri" w:cs="Calibri"/>
          <w:i/>
          <w:iCs/>
          <w:sz w:val="24"/>
          <w:szCs w:val="20"/>
          <w:lang w:val="en-GB"/>
        </w:rPr>
        <w:t>PCC v RSW Lumsden</w:t>
      </w:r>
      <w:r w:rsidR="009D3C43">
        <w:rPr>
          <w:rStyle w:val="FootnoteReference"/>
          <w:rFonts w:ascii="Calibri" w:eastAsia="Times New Roman" w:hAnsi="Calibri" w:cs="Calibri"/>
          <w:i/>
          <w:iCs/>
          <w:sz w:val="24"/>
          <w:szCs w:val="20"/>
          <w:lang w:val="en-GB"/>
        </w:rPr>
        <w:footnoteReference w:id="10"/>
      </w:r>
      <w:r w:rsidR="00434E89">
        <w:rPr>
          <w:rFonts w:ascii="Calibri" w:eastAsia="Times New Roman" w:hAnsi="Calibri" w:cs="Calibri"/>
          <w:i/>
          <w:iCs/>
          <w:sz w:val="24"/>
          <w:szCs w:val="20"/>
          <w:lang w:val="en-GB"/>
        </w:rPr>
        <w:t xml:space="preserve"> </w:t>
      </w:r>
      <w:r w:rsidR="00434E89">
        <w:rPr>
          <w:rFonts w:ascii="Calibri" w:eastAsia="Times New Roman" w:hAnsi="Calibri" w:cs="Calibri"/>
          <w:sz w:val="24"/>
          <w:szCs w:val="20"/>
          <w:lang w:val="en-GB"/>
        </w:rPr>
        <w:t>i</w:t>
      </w:r>
      <w:r w:rsidRPr="00285939">
        <w:rPr>
          <w:rFonts w:ascii="Calibri" w:eastAsia="Times New Roman" w:hAnsi="Calibri" w:cs="Calibri"/>
          <w:sz w:val="24"/>
          <w:szCs w:val="20"/>
          <w:lang w:val="en-GB"/>
        </w:rPr>
        <w:t xml:space="preserve">f a party seeks to rely on documents of this nature, it will assist the Tribunal </w:t>
      </w:r>
      <w:r w:rsidR="00E21581">
        <w:rPr>
          <w:rFonts w:ascii="Calibri" w:eastAsia="Times New Roman" w:hAnsi="Calibri" w:cs="Calibri"/>
          <w:sz w:val="24"/>
          <w:szCs w:val="20"/>
          <w:lang w:val="en-GB"/>
        </w:rPr>
        <w:t xml:space="preserve">(and the practitioner) </w:t>
      </w:r>
      <w:r w:rsidRPr="00285939">
        <w:rPr>
          <w:rFonts w:ascii="Calibri" w:eastAsia="Times New Roman" w:hAnsi="Calibri" w:cs="Calibri"/>
          <w:sz w:val="24"/>
          <w:szCs w:val="20"/>
          <w:lang w:val="en-GB"/>
        </w:rPr>
        <w:t xml:space="preserve">if copies are produced for the hearing. </w:t>
      </w:r>
    </w:p>
    <w:p w14:paraId="07C54E68" w14:textId="20E2B964" w:rsidR="00434E89" w:rsidRDefault="00434E89" w:rsidP="00434E89">
      <w:pPr>
        <w:tabs>
          <w:tab w:val="left" w:pos="709"/>
        </w:tabs>
        <w:spacing w:after="0" w:line="360" w:lineRule="auto"/>
        <w:ind w:left="567"/>
        <w:contextualSpacing/>
        <w:jc w:val="both"/>
        <w:rPr>
          <w:rFonts w:ascii="Calibri" w:eastAsia="Times New Roman" w:hAnsi="Calibri" w:cs="Calibri"/>
          <w:sz w:val="24"/>
          <w:szCs w:val="20"/>
          <w:lang w:val="en-GB"/>
        </w:rPr>
      </w:pPr>
    </w:p>
    <w:p w14:paraId="34EF03AD" w14:textId="506CCF3A" w:rsidR="002F41C9" w:rsidRDefault="002F41C9" w:rsidP="00434E89">
      <w:pPr>
        <w:tabs>
          <w:tab w:val="left" w:pos="709"/>
        </w:tabs>
        <w:spacing w:after="0" w:line="360" w:lineRule="auto"/>
        <w:ind w:left="567"/>
        <w:contextualSpacing/>
        <w:jc w:val="both"/>
        <w:rPr>
          <w:rFonts w:ascii="Calibri" w:eastAsia="Times New Roman" w:hAnsi="Calibri" w:cs="Calibri"/>
          <w:sz w:val="24"/>
          <w:szCs w:val="20"/>
          <w:lang w:val="en-GB"/>
        </w:rPr>
      </w:pPr>
    </w:p>
    <w:p w14:paraId="7956B391" w14:textId="77777777" w:rsidR="002F41C9" w:rsidRPr="00285939" w:rsidRDefault="002F41C9" w:rsidP="00434E89">
      <w:pPr>
        <w:tabs>
          <w:tab w:val="left" w:pos="709"/>
        </w:tabs>
        <w:spacing w:after="0" w:line="360" w:lineRule="auto"/>
        <w:ind w:left="567"/>
        <w:contextualSpacing/>
        <w:jc w:val="both"/>
        <w:rPr>
          <w:rFonts w:ascii="Calibri" w:eastAsia="Times New Roman" w:hAnsi="Calibri" w:cs="Calibri"/>
          <w:sz w:val="24"/>
          <w:szCs w:val="20"/>
          <w:lang w:val="en-GB"/>
        </w:rPr>
      </w:pPr>
    </w:p>
    <w:p w14:paraId="56E2E445" w14:textId="77777777" w:rsidR="00285939" w:rsidRPr="00285939" w:rsidRDefault="00285939" w:rsidP="00285939">
      <w:pPr>
        <w:tabs>
          <w:tab w:val="left" w:pos="709"/>
        </w:tabs>
        <w:spacing w:after="0" w:line="360" w:lineRule="auto"/>
        <w:jc w:val="both"/>
        <w:rPr>
          <w:rFonts w:ascii="Calibri" w:eastAsia="Times New Roman" w:hAnsi="Calibri" w:cs="Calibri"/>
          <w:b/>
          <w:bCs/>
          <w:sz w:val="24"/>
          <w:szCs w:val="20"/>
          <w:lang w:val="en-GB"/>
        </w:rPr>
      </w:pPr>
      <w:r w:rsidRPr="00285939">
        <w:rPr>
          <w:rFonts w:ascii="Calibri" w:eastAsia="Times New Roman" w:hAnsi="Calibri" w:cs="Calibri"/>
          <w:b/>
          <w:bCs/>
          <w:sz w:val="24"/>
          <w:szCs w:val="20"/>
          <w:lang w:val="en-GB"/>
        </w:rPr>
        <w:lastRenderedPageBreak/>
        <w:t xml:space="preserve">Background and Facts </w:t>
      </w:r>
    </w:p>
    <w:p w14:paraId="39F00D0F" w14:textId="26122358" w:rsidR="00285939" w:rsidRPr="00285939" w:rsidRDefault="00285939" w:rsidP="00285939">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sidRPr="00285939">
        <w:rPr>
          <w:rFonts w:ascii="Calibri" w:eastAsia="Times New Roman" w:hAnsi="Calibri" w:cs="Calibri"/>
          <w:sz w:val="24"/>
          <w:szCs w:val="20"/>
          <w:lang w:val="en-GB"/>
        </w:rPr>
        <w:t>The factual background considered by the Tribunal</w:t>
      </w:r>
      <w:r w:rsidR="007D747D">
        <w:rPr>
          <w:rFonts w:ascii="Calibri" w:eastAsia="Times New Roman" w:hAnsi="Calibri" w:cs="Calibri"/>
          <w:sz w:val="24"/>
          <w:szCs w:val="20"/>
          <w:lang w:val="en-GB"/>
        </w:rPr>
        <w:t xml:space="preserve"> (taken from the Crown Summary of Facts and </w:t>
      </w:r>
      <w:r w:rsidR="002F41C9">
        <w:rPr>
          <w:rFonts w:ascii="Calibri" w:eastAsia="Times New Roman" w:hAnsi="Calibri" w:cs="Calibri"/>
          <w:sz w:val="24"/>
          <w:szCs w:val="20"/>
          <w:lang w:val="en-GB"/>
        </w:rPr>
        <w:t xml:space="preserve">the </w:t>
      </w:r>
      <w:r w:rsidR="007D747D">
        <w:rPr>
          <w:rFonts w:ascii="Calibri" w:eastAsia="Times New Roman" w:hAnsi="Calibri" w:cs="Calibri"/>
          <w:sz w:val="24"/>
          <w:szCs w:val="20"/>
          <w:lang w:val="en-GB"/>
        </w:rPr>
        <w:t>Sentencing Notes of Judge Field in the District Court at Auckland)</w:t>
      </w:r>
      <w:r w:rsidRPr="00285939">
        <w:rPr>
          <w:rFonts w:ascii="Calibri" w:eastAsia="Times New Roman" w:hAnsi="Calibri" w:cs="Calibri"/>
          <w:sz w:val="24"/>
          <w:szCs w:val="20"/>
          <w:lang w:val="en-GB"/>
        </w:rPr>
        <w:t xml:space="preserve"> was:</w:t>
      </w:r>
    </w:p>
    <w:p w14:paraId="4931C1A7" w14:textId="7AD4E1E7" w:rsidR="00285939" w:rsidRDefault="009E0A1A" w:rsidP="00285939">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Pr>
          <w:rFonts w:ascii="Calibri" w:eastAsia="Times New Roman" w:hAnsi="Calibri" w:cs="Calibri"/>
          <w:sz w:val="24"/>
          <w:szCs w:val="20"/>
          <w:lang w:val="en-GB"/>
        </w:rPr>
        <w:t xml:space="preserve">The practitioner was at the relevant time </w:t>
      </w:r>
      <w:r w:rsidR="00E83899">
        <w:rPr>
          <w:rFonts w:ascii="Calibri" w:eastAsia="Times New Roman" w:hAnsi="Calibri" w:cs="Calibri"/>
          <w:sz w:val="24"/>
          <w:szCs w:val="20"/>
          <w:lang w:val="en-GB"/>
        </w:rPr>
        <w:t>34</w:t>
      </w:r>
      <w:r w:rsidR="00E471DB">
        <w:rPr>
          <w:rFonts w:ascii="Calibri" w:eastAsia="Times New Roman" w:hAnsi="Calibri" w:cs="Calibri"/>
          <w:sz w:val="24"/>
          <w:szCs w:val="20"/>
          <w:lang w:val="en-GB"/>
        </w:rPr>
        <w:t>-</w:t>
      </w:r>
      <w:r w:rsidR="00E83899">
        <w:rPr>
          <w:rFonts w:ascii="Calibri" w:eastAsia="Times New Roman" w:hAnsi="Calibri" w:cs="Calibri"/>
          <w:sz w:val="24"/>
          <w:szCs w:val="20"/>
          <w:lang w:val="en-GB"/>
        </w:rPr>
        <w:t>years</w:t>
      </w:r>
      <w:r w:rsidR="00E471DB">
        <w:rPr>
          <w:rFonts w:ascii="Calibri" w:eastAsia="Times New Roman" w:hAnsi="Calibri" w:cs="Calibri"/>
          <w:sz w:val="24"/>
          <w:szCs w:val="20"/>
          <w:lang w:val="en-GB"/>
        </w:rPr>
        <w:t>’</w:t>
      </w:r>
      <w:r w:rsidR="00E83899">
        <w:rPr>
          <w:rFonts w:ascii="Calibri" w:eastAsia="Times New Roman" w:hAnsi="Calibri" w:cs="Calibri"/>
          <w:sz w:val="24"/>
          <w:szCs w:val="20"/>
          <w:lang w:val="en-GB"/>
        </w:rPr>
        <w:t xml:space="preserve"> old and </w:t>
      </w:r>
      <w:r>
        <w:rPr>
          <w:rFonts w:ascii="Calibri" w:eastAsia="Times New Roman" w:hAnsi="Calibri" w:cs="Calibri"/>
          <w:sz w:val="24"/>
          <w:szCs w:val="20"/>
          <w:lang w:val="en-GB"/>
        </w:rPr>
        <w:t xml:space="preserve">employed by Oranga Tamariki as a social worker. She was assigned to the </w:t>
      </w:r>
      <w:r w:rsidR="00F90249">
        <w:rPr>
          <w:rFonts w:ascii="Calibri" w:eastAsia="Times New Roman" w:hAnsi="Calibri" w:cs="Calibri"/>
          <w:sz w:val="24"/>
          <w:szCs w:val="20"/>
          <w:lang w:val="en-GB"/>
        </w:rPr>
        <w:t>[ ]</w:t>
      </w:r>
      <w:r>
        <w:rPr>
          <w:rFonts w:ascii="Calibri" w:eastAsia="Times New Roman" w:hAnsi="Calibri" w:cs="Calibri"/>
          <w:sz w:val="24"/>
          <w:szCs w:val="20"/>
          <w:lang w:val="en-GB"/>
        </w:rPr>
        <w:t xml:space="preserve"> Oranga Tamariki site.</w:t>
      </w:r>
    </w:p>
    <w:p w14:paraId="49BC6559" w14:textId="739256F1" w:rsidR="006D1B35" w:rsidRDefault="006D1B35" w:rsidP="00285939">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Pr>
          <w:rFonts w:ascii="Calibri" w:eastAsia="Times New Roman" w:hAnsi="Calibri" w:cs="Calibri"/>
          <w:sz w:val="24"/>
          <w:szCs w:val="20"/>
          <w:lang w:val="en-GB"/>
        </w:rPr>
        <w:t>The practitioner’s role at Oranga Tamariki was to liaise with children, young persons and their families allocated to her and assess their care and protection needs.</w:t>
      </w:r>
      <w:r w:rsidR="00260E3A">
        <w:rPr>
          <w:rFonts w:ascii="Calibri" w:eastAsia="Times New Roman" w:hAnsi="Calibri" w:cs="Calibri"/>
          <w:sz w:val="24"/>
          <w:szCs w:val="20"/>
          <w:lang w:val="en-GB"/>
        </w:rPr>
        <w:t xml:space="preserve"> She was then responsible for following up with appropriate intervention.</w:t>
      </w:r>
    </w:p>
    <w:p w14:paraId="0FAFC9B5" w14:textId="147D4A56" w:rsidR="006D1B35" w:rsidRDefault="00260E3A" w:rsidP="00285939">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Pr>
          <w:rFonts w:ascii="Calibri" w:eastAsia="Times New Roman" w:hAnsi="Calibri" w:cs="Calibri"/>
          <w:sz w:val="24"/>
          <w:szCs w:val="20"/>
          <w:lang w:val="en-GB"/>
        </w:rPr>
        <w:t xml:space="preserve">On or about </w:t>
      </w:r>
      <w:r w:rsidR="00F90249">
        <w:rPr>
          <w:rFonts w:ascii="Calibri" w:eastAsia="Times New Roman" w:hAnsi="Calibri" w:cs="Calibri"/>
          <w:sz w:val="24"/>
          <w:szCs w:val="20"/>
          <w:lang w:val="en-GB"/>
        </w:rPr>
        <w:t>[ ]</w:t>
      </w:r>
      <w:r>
        <w:rPr>
          <w:rFonts w:ascii="Calibri" w:eastAsia="Times New Roman" w:hAnsi="Calibri" w:cs="Calibri"/>
          <w:sz w:val="24"/>
          <w:szCs w:val="20"/>
          <w:lang w:val="en-GB"/>
        </w:rPr>
        <w:t xml:space="preserve"> 2018 the practitioner was allocated a case involving a 15</w:t>
      </w:r>
      <w:r w:rsidR="008617F2">
        <w:rPr>
          <w:rFonts w:ascii="Calibri" w:eastAsia="Times New Roman" w:hAnsi="Calibri" w:cs="Calibri"/>
          <w:sz w:val="24"/>
          <w:szCs w:val="20"/>
          <w:lang w:val="en-GB"/>
        </w:rPr>
        <w:t>-year old boy (first complainant). She was to manage his care and protection needs and placement with approved Oranga Tamariki caregivers.</w:t>
      </w:r>
    </w:p>
    <w:p w14:paraId="691CDBC7" w14:textId="23017AB3" w:rsidR="00C52CD7" w:rsidRDefault="00C52CD7" w:rsidP="00285939">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Pr>
          <w:rFonts w:ascii="Calibri" w:eastAsia="Times New Roman" w:hAnsi="Calibri" w:cs="Calibri"/>
          <w:sz w:val="24"/>
          <w:szCs w:val="20"/>
          <w:lang w:val="en-GB"/>
        </w:rPr>
        <w:t>At the time</w:t>
      </w:r>
      <w:r w:rsidR="00EA01B5">
        <w:rPr>
          <w:rFonts w:ascii="Calibri" w:eastAsia="Times New Roman" w:hAnsi="Calibri" w:cs="Calibri"/>
          <w:sz w:val="24"/>
          <w:szCs w:val="20"/>
          <w:lang w:val="en-GB"/>
        </w:rPr>
        <w:t>,</w:t>
      </w:r>
      <w:r>
        <w:rPr>
          <w:rFonts w:ascii="Calibri" w:eastAsia="Times New Roman" w:hAnsi="Calibri" w:cs="Calibri"/>
          <w:sz w:val="24"/>
          <w:szCs w:val="20"/>
          <w:lang w:val="en-GB"/>
        </w:rPr>
        <w:t xml:space="preserve"> the 15-year old boy was living with his caregiver and another 14-year old boy in the care of Oranga Tamariki</w:t>
      </w:r>
      <w:r w:rsidR="00136EEB">
        <w:rPr>
          <w:rFonts w:ascii="Calibri" w:eastAsia="Times New Roman" w:hAnsi="Calibri" w:cs="Calibri"/>
          <w:sz w:val="24"/>
          <w:szCs w:val="20"/>
          <w:lang w:val="en-GB"/>
        </w:rPr>
        <w:t xml:space="preserve"> (the second complainant).</w:t>
      </w:r>
    </w:p>
    <w:p w14:paraId="04FD309E" w14:textId="5659EF93" w:rsidR="00136EEB" w:rsidRDefault="00136EEB" w:rsidP="00285939">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Pr>
          <w:rFonts w:ascii="Calibri" w:eastAsia="Times New Roman" w:hAnsi="Calibri" w:cs="Calibri"/>
          <w:sz w:val="24"/>
          <w:szCs w:val="20"/>
          <w:lang w:val="en-GB"/>
        </w:rPr>
        <w:t xml:space="preserve">The practitioner and the first complainant first </w:t>
      </w:r>
      <w:r w:rsidR="002E46E5">
        <w:rPr>
          <w:rFonts w:ascii="Calibri" w:eastAsia="Times New Roman" w:hAnsi="Calibri" w:cs="Calibri"/>
          <w:sz w:val="24"/>
          <w:szCs w:val="20"/>
          <w:lang w:val="en-GB"/>
        </w:rPr>
        <w:t xml:space="preserve">met at a child-focussed interview for the complainant which took place at the </w:t>
      </w:r>
      <w:r w:rsidR="00F90249">
        <w:rPr>
          <w:rFonts w:ascii="Calibri" w:eastAsia="Times New Roman" w:hAnsi="Calibri" w:cs="Calibri"/>
          <w:sz w:val="24"/>
          <w:szCs w:val="20"/>
          <w:lang w:val="en-GB"/>
        </w:rPr>
        <w:t>[ ]</w:t>
      </w:r>
      <w:r w:rsidR="002E46E5">
        <w:rPr>
          <w:rFonts w:ascii="Calibri" w:eastAsia="Times New Roman" w:hAnsi="Calibri" w:cs="Calibri"/>
          <w:sz w:val="24"/>
          <w:szCs w:val="20"/>
          <w:lang w:val="en-GB"/>
        </w:rPr>
        <w:t xml:space="preserve"> Oranga Tamariki office on </w:t>
      </w:r>
      <w:r w:rsidR="00F90249">
        <w:rPr>
          <w:rFonts w:ascii="Calibri" w:eastAsia="Times New Roman" w:hAnsi="Calibri" w:cs="Calibri"/>
          <w:sz w:val="24"/>
          <w:szCs w:val="20"/>
          <w:lang w:val="en-GB"/>
        </w:rPr>
        <w:t>[ ]</w:t>
      </w:r>
      <w:r w:rsidR="002E46E5">
        <w:rPr>
          <w:rFonts w:ascii="Calibri" w:eastAsia="Times New Roman" w:hAnsi="Calibri" w:cs="Calibri"/>
          <w:sz w:val="24"/>
          <w:szCs w:val="20"/>
          <w:lang w:val="en-GB"/>
        </w:rPr>
        <w:t xml:space="preserve"> 2018.</w:t>
      </w:r>
    </w:p>
    <w:p w14:paraId="761FD573" w14:textId="175CF4AA" w:rsidR="002E46E5" w:rsidRDefault="002E46E5" w:rsidP="00285939">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Pr>
          <w:rFonts w:ascii="Calibri" w:eastAsia="Times New Roman" w:hAnsi="Calibri" w:cs="Calibri"/>
          <w:sz w:val="24"/>
          <w:szCs w:val="20"/>
          <w:lang w:val="en-GB"/>
        </w:rPr>
        <w:t xml:space="preserve">By late </w:t>
      </w:r>
      <w:r w:rsidR="00F90249">
        <w:rPr>
          <w:rFonts w:ascii="Calibri" w:eastAsia="Times New Roman" w:hAnsi="Calibri" w:cs="Calibri"/>
          <w:sz w:val="24"/>
          <w:szCs w:val="20"/>
          <w:lang w:val="en-GB"/>
        </w:rPr>
        <w:t>[ ]</w:t>
      </w:r>
      <w:r>
        <w:rPr>
          <w:rFonts w:ascii="Calibri" w:eastAsia="Times New Roman" w:hAnsi="Calibri" w:cs="Calibri"/>
          <w:sz w:val="24"/>
          <w:szCs w:val="20"/>
          <w:lang w:val="en-GB"/>
        </w:rPr>
        <w:t xml:space="preserve"> 2018 the practitioner began to engage in contact with the first complainant outside of her role as a social worker.</w:t>
      </w:r>
    </w:p>
    <w:p w14:paraId="6D77E4D5" w14:textId="7B87B4D7" w:rsidR="002E46E5" w:rsidRDefault="002E46E5" w:rsidP="00285939">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Pr>
          <w:rFonts w:ascii="Calibri" w:eastAsia="Times New Roman" w:hAnsi="Calibri" w:cs="Calibri"/>
          <w:sz w:val="24"/>
          <w:szCs w:val="20"/>
          <w:lang w:val="en-GB"/>
        </w:rPr>
        <w:t>An inappropriate relationship between the two developed and this was witnessed by the complainant’s concerned caregiver.</w:t>
      </w:r>
    </w:p>
    <w:p w14:paraId="20318D53" w14:textId="152FF7FF" w:rsidR="0036339B" w:rsidRDefault="0036339B" w:rsidP="00285939">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Pr>
          <w:rFonts w:ascii="Calibri" w:eastAsia="Times New Roman" w:hAnsi="Calibri" w:cs="Calibri"/>
          <w:sz w:val="24"/>
          <w:szCs w:val="20"/>
          <w:lang w:val="en-GB"/>
        </w:rPr>
        <w:t>The family</w:t>
      </w:r>
      <w:r w:rsidR="00A60383">
        <w:rPr>
          <w:rFonts w:ascii="Calibri" w:eastAsia="Times New Roman" w:hAnsi="Calibri" w:cs="Calibri"/>
          <w:sz w:val="24"/>
          <w:szCs w:val="20"/>
          <w:lang w:val="en-GB"/>
        </w:rPr>
        <w:t xml:space="preserve"> (of the caregiver)</w:t>
      </w:r>
      <w:r>
        <w:rPr>
          <w:rFonts w:ascii="Calibri" w:eastAsia="Times New Roman" w:hAnsi="Calibri" w:cs="Calibri"/>
          <w:sz w:val="24"/>
          <w:szCs w:val="20"/>
          <w:lang w:val="en-GB"/>
        </w:rPr>
        <w:t xml:space="preserve"> reported lengthy after-hours visits by the practitioner to the first complainant’s home address</w:t>
      </w:r>
      <w:r w:rsidR="0062139B">
        <w:rPr>
          <w:rFonts w:ascii="Calibri" w:eastAsia="Times New Roman" w:hAnsi="Calibri" w:cs="Calibri"/>
          <w:sz w:val="24"/>
          <w:szCs w:val="20"/>
          <w:lang w:val="en-GB"/>
        </w:rPr>
        <w:t xml:space="preserve"> (the caregiver’s address)</w:t>
      </w:r>
      <w:r>
        <w:rPr>
          <w:rFonts w:ascii="Calibri" w:eastAsia="Times New Roman" w:hAnsi="Calibri" w:cs="Calibri"/>
          <w:sz w:val="24"/>
          <w:szCs w:val="20"/>
          <w:lang w:val="en-GB"/>
        </w:rPr>
        <w:t>. Some visits extended to four hours in duration during business hours and in the evenings.</w:t>
      </w:r>
    </w:p>
    <w:p w14:paraId="67448344" w14:textId="6C323B8A" w:rsidR="0036339B" w:rsidRDefault="0036339B" w:rsidP="00285939">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Pr>
          <w:rFonts w:ascii="Calibri" w:eastAsia="Times New Roman" w:hAnsi="Calibri" w:cs="Calibri"/>
          <w:sz w:val="24"/>
          <w:szCs w:val="20"/>
          <w:lang w:val="en-GB"/>
        </w:rPr>
        <w:t>On several occasions the first complainant</w:t>
      </w:r>
      <w:r w:rsidR="004A5D1E">
        <w:rPr>
          <w:rFonts w:ascii="Calibri" w:eastAsia="Times New Roman" w:hAnsi="Calibri" w:cs="Calibri"/>
          <w:sz w:val="24"/>
          <w:szCs w:val="20"/>
          <w:lang w:val="en-GB"/>
        </w:rPr>
        <w:t>’s caregiver found his bedroom door shut. When she investigated by opening his bedroom door</w:t>
      </w:r>
      <w:r w:rsidR="003372D7">
        <w:rPr>
          <w:rFonts w:ascii="Calibri" w:eastAsia="Times New Roman" w:hAnsi="Calibri" w:cs="Calibri"/>
          <w:sz w:val="24"/>
          <w:szCs w:val="20"/>
          <w:lang w:val="en-GB"/>
        </w:rPr>
        <w:t>, she found the practitioner lying on top of the first complainant on his bed.</w:t>
      </w:r>
    </w:p>
    <w:p w14:paraId="5E23091A" w14:textId="491EF65F" w:rsidR="003372D7" w:rsidRDefault="003372D7" w:rsidP="00285939">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Pr>
          <w:rFonts w:ascii="Calibri" w:eastAsia="Times New Roman" w:hAnsi="Calibri" w:cs="Calibri"/>
          <w:sz w:val="24"/>
          <w:szCs w:val="20"/>
          <w:lang w:val="en-GB"/>
        </w:rPr>
        <w:t xml:space="preserve">On </w:t>
      </w:r>
      <w:r w:rsidR="00F90249">
        <w:rPr>
          <w:rFonts w:ascii="Calibri" w:eastAsia="Times New Roman" w:hAnsi="Calibri" w:cs="Calibri"/>
          <w:sz w:val="24"/>
          <w:szCs w:val="20"/>
          <w:lang w:val="en-GB"/>
        </w:rPr>
        <w:t>[ ]</w:t>
      </w:r>
      <w:r>
        <w:rPr>
          <w:rFonts w:ascii="Calibri" w:eastAsia="Times New Roman" w:hAnsi="Calibri" w:cs="Calibri"/>
          <w:sz w:val="24"/>
          <w:szCs w:val="20"/>
          <w:lang w:val="en-GB"/>
        </w:rPr>
        <w:t xml:space="preserve"> 2018, the practitioner contacted the complainan</w:t>
      </w:r>
      <w:r w:rsidR="007D0BAB">
        <w:rPr>
          <w:rFonts w:ascii="Calibri" w:eastAsia="Times New Roman" w:hAnsi="Calibri" w:cs="Calibri"/>
          <w:sz w:val="24"/>
          <w:szCs w:val="20"/>
          <w:lang w:val="en-GB"/>
        </w:rPr>
        <w:t>t</w:t>
      </w:r>
      <w:r w:rsidR="00B243DC">
        <w:rPr>
          <w:rFonts w:ascii="Calibri" w:eastAsia="Times New Roman" w:hAnsi="Calibri" w:cs="Calibri"/>
          <w:sz w:val="24"/>
          <w:szCs w:val="20"/>
          <w:lang w:val="en-GB"/>
        </w:rPr>
        <w:t>s</w:t>
      </w:r>
      <w:r w:rsidR="007D0BAB">
        <w:rPr>
          <w:rFonts w:ascii="Calibri" w:eastAsia="Times New Roman" w:hAnsi="Calibri" w:cs="Calibri"/>
          <w:sz w:val="24"/>
          <w:szCs w:val="20"/>
          <w:lang w:val="en-GB"/>
        </w:rPr>
        <w:t>’</w:t>
      </w:r>
      <w:r>
        <w:rPr>
          <w:rFonts w:ascii="Calibri" w:eastAsia="Times New Roman" w:hAnsi="Calibri" w:cs="Calibri"/>
          <w:sz w:val="24"/>
          <w:szCs w:val="20"/>
          <w:lang w:val="en-GB"/>
        </w:rPr>
        <w:t xml:space="preserve"> caregiver </w:t>
      </w:r>
      <w:r w:rsidR="00F62AC1">
        <w:rPr>
          <w:rFonts w:ascii="Calibri" w:eastAsia="Times New Roman" w:hAnsi="Calibri" w:cs="Calibri"/>
          <w:sz w:val="24"/>
          <w:szCs w:val="20"/>
          <w:lang w:val="en-GB"/>
        </w:rPr>
        <w:t xml:space="preserve">under the guise of wanting to take the complainants from the same address to the movies in </w:t>
      </w:r>
      <w:r w:rsidR="005E41E3">
        <w:rPr>
          <w:rFonts w:ascii="Calibri" w:eastAsia="Times New Roman" w:hAnsi="Calibri" w:cs="Calibri"/>
          <w:sz w:val="24"/>
          <w:szCs w:val="20"/>
          <w:lang w:val="en-GB"/>
        </w:rPr>
        <w:t>[ ].</w:t>
      </w:r>
    </w:p>
    <w:p w14:paraId="67AD86DD" w14:textId="3FFAB6DC" w:rsidR="00F62AC1" w:rsidRDefault="0090175E" w:rsidP="00285939">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Pr>
          <w:rFonts w:ascii="Calibri" w:eastAsia="Times New Roman" w:hAnsi="Calibri" w:cs="Calibri"/>
          <w:sz w:val="24"/>
          <w:szCs w:val="20"/>
          <w:lang w:val="en-GB"/>
        </w:rPr>
        <w:t>The practitioner and a friend uplifted both boys and instead drove them to</w:t>
      </w:r>
      <w:r w:rsidR="005E41E3">
        <w:rPr>
          <w:rFonts w:ascii="Calibri" w:eastAsia="Times New Roman" w:hAnsi="Calibri" w:cs="Calibri"/>
          <w:sz w:val="24"/>
          <w:szCs w:val="20"/>
          <w:lang w:val="en-GB"/>
        </w:rPr>
        <w:t xml:space="preserve"> [ ]</w:t>
      </w:r>
      <w:r>
        <w:rPr>
          <w:rFonts w:ascii="Calibri" w:eastAsia="Times New Roman" w:hAnsi="Calibri" w:cs="Calibri"/>
          <w:sz w:val="24"/>
          <w:szCs w:val="20"/>
          <w:lang w:val="en-GB"/>
        </w:rPr>
        <w:t xml:space="preserve"> </w:t>
      </w:r>
      <w:r w:rsidR="00EC37A0">
        <w:rPr>
          <w:rFonts w:ascii="Calibri" w:eastAsia="Times New Roman" w:hAnsi="Calibri" w:cs="Calibri"/>
          <w:sz w:val="24"/>
          <w:szCs w:val="20"/>
          <w:lang w:val="en-GB"/>
        </w:rPr>
        <w:t xml:space="preserve"> and supplied both boys with cannabis.</w:t>
      </w:r>
    </w:p>
    <w:p w14:paraId="675F8D37" w14:textId="7C68F4AF" w:rsidR="00EC37A0" w:rsidRDefault="00EC37A0" w:rsidP="00285939">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Pr>
          <w:rFonts w:ascii="Calibri" w:eastAsia="Times New Roman" w:hAnsi="Calibri" w:cs="Calibri"/>
          <w:sz w:val="24"/>
          <w:szCs w:val="20"/>
          <w:lang w:val="en-GB"/>
        </w:rPr>
        <w:t xml:space="preserve">While at the </w:t>
      </w:r>
      <w:r w:rsidR="005E41E3">
        <w:rPr>
          <w:rFonts w:ascii="Calibri" w:eastAsia="Times New Roman" w:hAnsi="Calibri" w:cs="Calibri"/>
          <w:sz w:val="24"/>
          <w:szCs w:val="20"/>
          <w:lang w:val="en-GB"/>
        </w:rPr>
        <w:t>[ ]</w:t>
      </w:r>
      <w:r>
        <w:rPr>
          <w:rFonts w:ascii="Calibri" w:eastAsia="Times New Roman" w:hAnsi="Calibri" w:cs="Calibri"/>
          <w:sz w:val="24"/>
          <w:szCs w:val="20"/>
          <w:lang w:val="en-GB"/>
        </w:rPr>
        <w:t xml:space="preserve"> the practitioner hugged the first complainant and started kissing him. The practitioner and the first complainant</w:t>
      </w:r>
      <w:r w:rsidR="009D077E">
        <w:rPr>
          <w:rFonts w:ascii="Calibri" w:eastAsia="Times New Roman" w:hAnsi="Calibri" w:cs="Calibri"/>
          <w:sz w:val="24"/>
          <w:szCs w:val="20"/>
          <w:lang w:val="en-GB"/>
        </w:rPr>
        <w:t xml:space="preserve"> then went for a walk along </w:t>
      </w:r>
      <w:r w:rsidR="005E41E3">
        <w:rPr>
          <w:rFonts w:ascii="Calibri" w:eastAsia="Times New Roman" w:hAnsi="Calibri" w:cs="Calibri"/>
          <w:sz w:val="24"/>
          <w:szCs w:val="20"/>
          <w:lang w:val="en-GB"/>
        </w:rPr>
        <w:t>[ ]</w:t>
      </w:r>
      <w:r w:rsidR="009D077E">
        <w:rPr>
          <w:rFonts w:ascii="Calibri" w:eastAsia="Times New Roman" w:hAnsi="Calibri" w:cs="Calibri"/>
          <w:sz w:val="24"/>
          <w:szCs w:val="20"/>
          <w:lang w:val="en-GB"/>
        </w:rPr>
        <w:t xml:space="preserve"> beach and continued to kiss one another. </w:t>
      </w:r>
    </w:p>
    <w:p w14:paraId="799ECD5D" w14:textId="160ED294" w:rsidR="009D077E" w:rsidRDefault="009D077E" w:rsidP="00285939">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Pr>
          <w:rFonts w:ascii="Calibri" w:eastAsia="Times New Roman" w:hAnsi="Calibri" w:cs="Calibri"/>
          <w:sz w:val="24"/>
          <w:szCs w:val="20"/>
          <w:lang w:val="en-GB"/>
        </w:rPr>
        <w:lastRenderedPageBreak/>
        <w:t>The practitioner’s friend later drove the complainants, home.</w:t>
      </w:r>
    </w:p>
    <w:p w14:paraId="0F3BCEBB" w14:textId="5CAC38C6" w:rsidR="009D077E" w:rsidRDefault="009D077E" w:rsidP="00285939">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Pr>
          <w:rFonts w:ascii="Calibri" w:eastAsia="Times New Roman" w:hAnsi="Calibri" w:cs="Calibri"/>
          <w:sz w:val="24"/>
          <w:szCs w:val="20"/>
          <w:lang w:val="en-GB"/>
        </w:rPr>
        <w:t>Throughout the relationship between the prac</w:t>
      </w:r>
      <w:r w:rsidR="00B52D75">
        <w:rPr>
          <w:rFonts w:ascii="Calibri" w:eastAsia="Times New Roman" w:hAnsi="Calibri" w:cs="Calibri"/>
          <w:sz w:val="24"/>
          <w:szCs w:val="20"/>
          <w:lang w:val="en-GB"/>
        </w:rPr>
        <w:t xml:space="preserve">titioner and the first complainant, the pair communicated by way of Facebook Messenger using the profile </w:t>
      </w:r>
      <w:r w:rsidR="00A80666">
        <w:rPr>
          <w:rFonts w:ascii="Calibri" w:eastAsia="Times New Roman" w:hAnsi="Calibri" w:cs="Calibri"/>
          <w:sz w:val="24"/>
          <w:szCs w:val="20"/>
          <w:lang w:val="en-GB"/>
        </w:rPr>
        <w:t>names</w:t>
      </w:r>
      <w:r w:rsidR="00B52D75">
        <w:rPr>
          <w:rFonts w:ascii="Calibri" w:eastAsia="Times New Roman" w:hAnsi="Calibri" w:cs="Calibri"/>
          <w:sz w:val="24"/>
          <w:szCs w:val="20"/>
          <w:lang w:val="en-GB"/>
        </w:rPr>
        <w:t xml:space="preserve"> ‘Helena </w:t>
      </w:r>
      <w:proofErr w:type="spellStart"/>
      <w:r w:rsidR="00B52D75">
        <w:rPr>
          <w:rFonts w:ascii="Calibri" w:eastAsia="Times New Roman" w:hAnsi="Calibri" w:cs="Calibri"/>
          <w:sz w:val="24"/>
          <w:szCs w:val="20"/>
          <w:lang w:val="en-GB"/>
        </w:rPr>
        <w:t>Hudini</w:t>
      </w:r>
      <w:proofErr w:type="spellEnd"/>
      <w:r w:rsidR="00B52D75">
        <w:rPr>
          <w:rFonts w:ascii="Calibri" w:eastAsia="Times New Roman" w:hAnsi="Calibri" w:cs="Calibri"/>
          <w:sz w:val="24"/>
          <w:szCs w:val="20"/>
          <w:lang w:val="en-GB"/>
        </w:rPr>
        <w:t xml:space="preserve">’, ‘Brent </w:t>
      </w:r>
      <w:proofErr w:type="spellStart"/>
      <w:r w:rsidR="00B52D75">
        <w:rPr>
          <w:rFonts w:ascii="Calibri" w:eastAsia="Times New Roman" w:hAnsi="Calibri" w:cs="Calibri"/>
          <w:sz w:val="24"/>
          <w:szCs w:val="20"/>
          <w:lang w:val="en-GB"/>
        </w:rPr>
        <w:t>Shawson</w:t>
      </w:r>
      <w:proofErr w:type="spellEnd"/>
      <w:r w:rsidR="00FD2C68">
        <w:rPr>
          <w:rFonts w:ascii="Calibri" w:eastAsia="Times New Roman" w:hAnsi="Calibri" w:cs="Calibri"/>
          <w:sz w:val="24"/>
          <w:szCs w:val="20"/>
          <w:lang w:val="en-GB"/>
        </w:rPr>
        <w:t>’ and ‘D[suppressed], D [suppressed], D</w:t>
      </w:r>
      <w:r w:rsidR="00A80666">
        <w:rPr>
          <w:rFonts w:ascii="Calibri" w:eastAsia="Times New Roman" w:hAnsi="Calibri" w:cs="Calibri"/>
          <w:sz w:val="24"/>
          <w:szCs w:val="20"/>
          <w:lang w:val="en-GB"/>
        </w:rPr>
        <w:t xml:space="preserve"> </w:t>
      </w:r>
      <w:r w:rsidR="00FD2C68">
        <w:rPr>
          <w:rFonts w:ascii="Calibri" w:eastAsia="Times New Roman" w:hAnsi="Calibri" w:cs="Calibri"/>
          <w:sz w:val="24"/>
          <w:szCs w:val="20"/>
          <w:lang w:val="en-GB"/>
        </w:rPr>
        <w:t>[suppressed] by the first complainant.</w:t>
      </w:r>
    </w:p>
    <w:p w14:paraId="560AFB5D" w14:textId="2F868375" w:rsidR="00A80666" w:rsidRDefault="00A80666" w:rsidP="00285939">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Pr>
          <w:rFonts w:ascii="Calibri" w:eastAsia="Times New Roman" w:hAnsi="Calibri" w:cs="Calibri"/>
          <w:sz w:val="24"/>
          <w:szCs w:val="20"/>
          <w:lang w:val="en-GB"/>
        </w:rPr>
        <w:t>The practitioner also communicated with the first complainant’s personal Facebook Messenger profile under his real name, and by text message.</w:t>
      </w:r>
    </w:p>
    <w:p w14:paraId="566DDAB2" w14:textId="308DB7FB" w:rsidR="00A80666" w:rsidRDefault="00A80666" w:rsidP="00285939">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Pr>
          <w:rFonts w:ascii="Calibri" w:eastAsia="Times New Roman" w:hAnsi="Calibri" w:cs="Calibri"/>
          <w:sz w:val="24"/>
          <w:szCs w:val="20"/>
          <w:lang w:val="en-GB"/>
        </w:rPr>
        <w:t>Police obtained copies of those message</w:t>
      </w:r>
      <w:r w:rsidR="00FA013D">
        <w:rPr>
          <w:rFonts w:ascii="Calibri" w:eastAsia="Times New Roman" w:hAnsi="Calibri" w:cs="Calibri"/>
          <w:sz w:val="24"/>
          <w:szCs w:val="20"/>
          <w:lang w:val="en-GB"/>
        </w:rPr>
        <w:t>s</w:t>
      </w:r>
      <w:r>
        <w:rPr>
          <w:rFonts w:ascii="Calibri" w:eastAsia="Times New Roman" w:hAnsi="Calibri" w:cs="Calibri"/>
          <w:sz w:val="24"/>
          <w:szCs w:val="20"/>
          <w:lang w:val="en-GB"/>
        </w:rPr>
        <w:t xml:space="preserve"> by consent from the first complainan</w:t>
      </w:r>
      <w:r w:rsidR="001F0992">
        <w:rPr>
          <w:rFonts w:ascii="Calibri" w:eastAsia="Times New Roman" w:hAnsi="Calibri" w:cs="Calibri"/>
          <w:sz w:val="24"/>
          <w:szCs w:val="20"/>
          <w:lang w:val="en-GB"/>
        </w:rPr>
        <w:t>t. There are dozens of messages between the pair which refer to meeting up, various sexual acts, and the sending of explicit photographs to each other.</w:t>
      </w:r>
      <w:r w:rsidR="007F2667">
        <w:rPr>
          <w:rFonts w:ascii="Calibri" w:eastAsia="Times New Roman" w:hAnsi="Calibri" w:cs="Calibri"/>
          <w:sz w:val="24"/>
          <w:szCs w:val="20"/>
          <w:lang w:val="en-GB"/>
        </w:rPr>
        <w:t xml:space="preserve"> These included the practitioner sending nude pictures of herself in the sho</w:t>
      </w:r>
      <w:r w:rsidR="00FD06D5">
        <w:rPr>
          <w:rFonts w:ascii="Calibri" w:eastAsia="Times New Roman" w:hAnsi="Calibri" w:cs="Calibri"/>
          <w:sz w:val="24"/>
          <w:szCs w:val="20"/>
          <w:lang w:val="en-GB"/>
        </w:rPr>
        <w:t>wer and the first complainant sending nude pictures of himself. At one point the practitioner requested a picture of the first complainant’s penis in the following terms:</w:t>
      </w:r>
    </w:p>
    <w:p w14:paraId="5A1E8E56" w14:textId="732B73DA" w:rsidR="00FD06D5" w:rsidRDefault="00FC3F4E" w:rsidP="00FD06D5">
      <w:pPr>
        <w:tabs>
          <w:tab w:val="left" w:pos="709"/>
        </w:tabs>
        <w:spacing w:after="0" w:line="360" w:lineRule="auto"/>
        <w:ind w:left="567"/>
        <w:contextualSpacing/>
        <w:jc w:val="both"/>
        <w:rPr>
          <w:rFonts w:ascii="Calibri" w:eastAsia="Times New Roman" w:hAnsi="Calibri" w:cs="Calibri"/>
          <w:i/>
          <w:iCs/>
          <w:sz w:val="24"/>
          <w:szCs w:val="20"/>
          <w:lang w:val="en-GB"/>
        </w:rPr>
      </w:pPr>
      <w:r w:rsidRPr="00FC3F4E">
        <w:rPr>
          <w:rFonts w:ascii="Calibri" w:eastAsia="Times New Roman" w:hAnsi="Calibri" w:cs="Calibri"/>
          <w:i/>
          <w:iCs/>
          <w:sz w:val="24"/>
          <w:szCs w:val="20"/>
          <w:lang w:val="en-GB"/>
        </w:rPr>
        <w:t>“I need more pics of [penis]”</w:t>
      </w:r>
    </w:p>
    <w:p w14:paraId="65085938" w14:textId="6D9E41DB" w:rsidR="00FC3F4E" w:rsidRDefault="00FC3F4E" w:rsidP="00FD06D5">
      <w:pPr>
        <w:tabs>
          <w:tab w:val="left" w:pos="709"/>
        </w:tabs>
        <w:spacing w:after="0" w:line="360" w:lineRule="auto"/>
        <w:ind w:left="567"/>
        <w:contextualSpacing/>
        <w:jc w:val="both"/>
        <w:rPr>
          <w:rFonts w:ascii="Calibri" w:eastAsia="Times New Roman" w:hAnsi="Calibri" w:cs="Calibri"/>
          <w:sz w:val="24"/>
          <w:szCs w:val="20"/>
          <w:lang w:val="en-GB"/>
        </w:rPr>
      </w:pPr>
      <w:r>
        <w:rPr>
          <w:rFonts w:ascii="Calibri" w:eastAsia="Times New Roman" w:hAnsi="Calibri" w:cs="Calibri"/>
          <w:sz w:val="24"/>
          <w:szCs w:val="20"/>
          <w:lang w:val="en-GB"/>
        </w:rPr>
        <w:t>And:</w:t>
      </w:r>
    </w:p>
    <w:p w14:paraId="6B514E77" w14:textId="09241441" w:rsidR="00725C98" w:rsidRDefault="00725C98" w:rsidP="00FD06D5">
      <w:pPr>
        <w:tabs>
          <w:tab w:val="left" w:pos="709"/>
        </w:tabs>
        <w:spacing w:after="0" w:line="360" w:lineRule="auto"/>
        <w:ind w:left="567"/>
        <w:contextualSpacing/>
        <w:jc w:val="both"/>
        <w:rPr>
          <w:rFonts w:ascii="Calibri" w:eastAsia="Times New Roman" w:hAnsi="Calibri" w:cs="Calibri"/>
          <w:i/>
          <w:iCs/>
          <w:sz w:val="24"/>
          <w:szCs w:val="20"/>
          <w:lang w:val="en-GB"/>
        </w:rPr>
      </w:pPr>
      <w:r>
        <w:rPr>
          <w:rFonts w:ascii="Calibri" w:eastAsia="Times New Roman" w:hAnsi="Calibri" w:cs="Calibri"/>
          <w:i/>
          <w:iCs/>
          <w:sz w:val="24"/>
          <w:szCs w:val="20"/>
          <w:lang w:val="en-GB"/>
        </w:rPr>
        <w:t>You didn’t measure either you need a pic with your [penis] against your hand from your thumb to the tip of your second finger”</w:t>
      </w:r>
    </w:p>
    <w:p w14:paraId="4829B311" w14:textId="75A6C783" w:rsidR="00725C98" w:rsidRPr="00725C98" w:rsidRDefault="00725C98" w:rsidP="00FD06D5">
      <w:pPr>
        <w:tabs>
          <w:tab w:val="left" w:pos="709"/>
        </w:tabs>
        <w:spacing w:after="0" w:line="360" w:lineRule="auto"/>
        <w:ind w:left="567"/>
        <w:contextualSpacing/>
        <w:jc w:val="both"/>
        <w:rPr>
          <w:rFonts w:ascii="Calibri" w:eastAsia="Times New Roman" w:hAnsi="Calibri" w:cs="Calibri"/>
          <w:sz w:val="24"/>
          <w:szCs w:val="20"/>
          <w:lang w:val="en-GB"/>
        </w:rPr>
      </w:pPr>
      <w:r>
        <w:rPr>
          <w:rFonts w:ascii="Calibri" w:eastAsia="Times New Roman" w:hAnsi="Calibri" w:cs="Calibri"/>
          <w:sz w:val="24"/>
          <w:szCs w:val="20"/>
          <w:lang w:val="en-GB"/>
        </w:rPr>
        <w:t>And:</w:t>
      </w:r>
    </w:p>
    <w:p w14:paraId="5C7A5F66" w14:textId="380781A5" w:rsidR="00FC3F4E" w:rsidRPr="00285939" w:rsidRDefault="00DE3E65" w:rsidP="00FD06D5">
      <w:pPr>
        <w:tabs>
          <w:tab w:val="left" w:pos="709"/>
        </w:tabs>
        <w:spacing w:after="0" w:line="360" w:lineRule="auto"/>
        <w:ind w:left="567"/>
        <w:contextualSpacing/>
        <w:jc w:val="both"/>
        <w:rPr>
          <w:rFonts w:ascii="Calibri" w:eastAsia="Times New Roman" w:hAnsi="Calibri" w:cs="Calibri"/>
          <w:i/>
          <w:iCs/>
          <w:sz w:val="24"/>
          <w:szCs w:val="20"/>
          <w:lang w:val="en-GB"/>
        </w:rPr>
      </w:pPr>
      <w:r>
        <w:rPr>
          <w:rFonts w:ascii="Calibri" w:eastAsia="Times New Roman" w:hAnsi="Calibri" w:cs="Calibri"/>
          <w:i/>
          <w:iCs/>
          <w:sz w:val="24"/>
          <w:szCs w:val="20"/>
          <w:lang w:val="en-GB"/>
        </w:rPr>
        <w:t>“I want to taste [your penis] now”</w:t>
      </w:r>
    </w:p>
    <w:p w14:paraId="4C59773F" w14:textId="2DC6A3B7" w:rsidR="00285939" w:rsidRDefault="00DE3E65" w:rsidP="00285939">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Pr>
          <w:rFonts w:ascii="Calibri" w:eastAsia="Times New Roman" w:hAnsi="Calibri" w:cs="Calibri"/>
          <w:sz w:val="24"/>
          <w:szCs w:val="20"/>
          <w:lang w:val="en-GB"/>
        </w:rPr>
        <w:t xml:space="preserve">Following these </w:t>
      </w:r>
      <w:r w:rsidR="00CC430B">
        <w:rPr>
          <w:rFonts w:ascii="Calibri" w:eastAsia="Times New Roman" w:hAnsi="Calibri" w:cs="Calibri"/>
          <w:sz w:val="24"/>
          <w:szCs w:val="20"/>
          <w:lang w:val="en-GB"/>
        </w:rPr>
        <w:t>communications, the practitioner and the first complainant arranged to and did meet outside the practitioner’s role as a social worker and away from the first complainant’s home address, usually in the practitioner’s car. On a number of occasions, they kissed.</w:t>
      </w:r>
    </w:p>
    <w:p w14:paraId="4EDDB7D9" w14:textId="7B089FDA" w:rsidR="00CC430B" w:rsidRDefault="00CC430B" w:rsidP="00285939">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Pr>
          <w:rFonts w:ascii="Calibri" w:eastAsia="Times New Roman" w:hAnsi="Calibri" w:cs="Calibri"/>
          <w:sz w:val="24"/>
          <w:szCs w:val="20"/>
          <w:lang w:val="en-GB"/>
        </w:rPr>
        <w:t xml:space="preserve">When interviewed by Police, the first complainant spoke further about the practitioner supplying him with cannabis. The practitioner supplied cannabis for the </w:t>
      </w:r>
      <w:r w:rsidR="00397EA5">
        <w:rPr>
          <w:rFonts w:ascii="Calibri" w:eastAsia="Times New Roman" w:hAnsi="Calibri" w:cs="Calibri"/>
          <w:sz w:val="24"/>
          <w:szCs w:val="20"/>
          <w:lang w:val="en-GB"/>
        </w:rPr>
        <w:t>complainant on at least four occasions.</w:t>
      </w:r>
    </w:p>
    <w:p w14:paraId="14E97452" w14:textId="3F007E3C" w:rsidR="00397EA5" w:rsidRDefault="00397EA5" w:rsidP="00285939">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Pr>
          <w:rFonts w:ascii="Calibri" w:eastAsia="Times New Roman" w:hAnsi="Calibri" w:cs="Calibri"/>
          <w:sz w:val="24"/>
          <w:szCs w:val="20"/>
          <w:lang w:val="en-GB"/>
        </w:rPr>
        <w:t xml:space="preserve">The practitioner was suspended from her employment at Oranga Tamariki on </w:t>
      </w:r>
      <w:r w:rsidR="005E41E3">
        <w:rPr>
          <w:rFonts w:ascii="Calibri" w:eastAsia="Times New Roman" w:hAnsi="Calibri" w:cs="Calibri"/>
          <w:sz w:val="24"/>
          <w:szCs w:val="20"/>
          <w:lang w:val="en-GB"/>
        </w:rPr>
        <w:t>[ ]</w:t>
      </w:r>
      <w:r>
        <w:rPr>
          <w:rFonts w:ascii="Calibri" w:eastAsia="Times New Roman" w:hAnsi="Calibri" w:cs="Calibri"/>
          <w:sz w:val="24"/>
          <w:szCs w:val="20"/>
          <w:lang w:val="en-GB"/>
        </w:rPr>
        <w:t xml:space="preserve"> 2018. </w:t>
      </w:r>
    </w:p>
    <w:p w14:paraId="06C1D625" w14:textId="0AAC88E0" w:rsidR="00397EA5" w:rsidRDefault="00397EA5" w:rsidP="00285939">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Pr>
          <w:rFonts w:ascii="Calibri" w:eastAsia="Times New Roman" w:hAnsi="Calibri" w:cs="Calibri"/>
          <w:sz w:val="24"/>
          <w:szCs w:val="20"/>
          <w:lang w:val="en-GB"/>
        </w:rPr>
        <w:t xml:space="preserve">The practitioner </w:t>
      </w:r>
      <w:r w:rsidR="006D50DC">
        <w:rPr>
          <w:rFonts w:ascii="Calibri" w:eastAsia="Times New Roman" w:hAnsi="Calibri" w:cs="Calibri"/>
          <w:sz w:val="24"/>
          <w:szCs w:val="20"/>
          <w:lang w:val="en-GB"/>
        </w:rPr>
        <w:t>continued to communicate with the first complainant asking to meet him, expressing her love for him and asking that he lie to Police about their relationship to stop her from going to jail.</w:t>
      </w:r>
    </w:p>
    <w:p w14:paraId="180BBBEA" w14:textId="1A48BCB1" w:rsidR="006D50DC" w:rsidRDefault="006D50DC" w:rsidP="00285939">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Pr>
          <w:rFonts w:ascii="Calibri" w:eastAsia="Times New Roman" w:hAnsi="Calibri" w:cs="Calibri"/>
          <w:sz w:val="24"/>
          <w:szCs w:val="20"/>
          <w:lang w:val="en-GB"/>
        </w:rPr>
        <w:t>In particular, one message read:</w:t>
      </w:r>
    </w:p>
    <w:p w14:paraId="737BA073" w14:textId="60A2748B" w:rsidR="006D50DC" w:rsidRDefault="00350344" w:rsidP="006D50DC">
      <w:pPr>
        <w:tabs>
          <w:tab w:val="left" w:pos="709"/>
        </w:tabs>
        <w:spacing w:after="0" w:line="360" w:lineRule="auto"/>
        <w:ind w:left="567"/>
        <w:contextualSpacing/>
        <w:jc w:val="both"/>
        <w:rPr>
          <w:rFonts w:ascii="Calibri" w:eastAsia="Times New Roman" w:hAnsi="Calibri" w:cs="Calibri"/>
          <w:i/>
          <w:iCs/>
          <w:sz w:val="24"/>
          <w:szCs w:val="20"/>
          <w:lang w:val="en-GB"/>
        </w:rPr>
      </w:pPr>
      <w:r>
        <w:rPr>
          <w:rFonts w:ascii="Calibri" w:eastAsia="Times New Roman" w:hAnsi="Calibri" w:cs="Calibri"/>
          <w:i/>
          <w:iCs/>
          <w:sz w:val="24"/>
          <w:szCs w:val="20"/>
          <w:lang w:val="en-GB"/>
        </w:rPr>
        <w:t>“PLEASE READ THIS, PLEASE THIS IS SERIOUS!!!!</w:t>
      </w:r>
    </w:p>
    <w:p w14:paraId="535DE8D0" w14:textId="03C02853" w:rsidR="00350344" w:rsidRDefault="00350344" w:rsidP="006D50DC">
      <w:pPr>
        <w:tabs>
          <w:tab w:val="left" w:pos="709"/>
        </w:tabs>
        <w:spacing w:after="0" w:line="360" w:lineRule="auto"/>
        <w:ind w:left="567"/>
        <w:contextualSpacing/>
        <w:jc w:val="both"/>
        <w:rPr>
          <w:rFonts w:ascii="Calibri" w:eastAsia="Times New Roman" w:hAnsi="Calibri" w:cs="Calibri"/>
          <w:i/>
          <w:iCs/>
          <w:sz w:val="24"/>
          <w:szCs w:val="20"/>
          <w:u w:val="single"/>
          <w:lang w:val="en-GB"/>
        </w:rPr>
      </w:pPr>
      <w:r>
        <w:rPr>
          <w:rFonts w:ascii="Calibri" w:eastAsia="Times New Roman" w:hAnsi="Calibri" w:cs="Calibri"/>
          <w:i/>
          <w:iCs/>
          <w:sz w:val="24"/>
          <w:szCs w:val="20"/>
          <w:lang w:val="en-GB"/>
        </w:rPr>
        <w:lastRenderedPageBreak/>
        <w:t>I got a visit from the POLICE this morning, your grandfather has gone to the Police and made a statement against me saying that we are in a sexual relationship…THEY WILL INTERVIEW YOU  and if u tell them that nothing ever happened then I should be fin</w:t>
      </w:r>
      <w:r w:rsidR="008118F9">
        <w:rPr>
          <w:rFonts w:ascii="Calibri" w:eastAsia="Times New Roman" w:hAnsi="Calibri" w:cs="Calibri"/>
          <w:i/>
          <w:iCs/>
          <w:sz w:val="24"/>
          <w:szCs w:val="20"/>
          <w:lang w:val="en-GB"/>
        </w:rPr>
        <w:t>e</w:t>
      </w:r>
      <w:r>
        <w:rPr>
          <w:rFonts w:ascii="Calibri" w:eastAsia="Times New Roman" w:hAnsi="Calibri" w:cs="Calibri"/>
          <w:i/>
          <w:iCs/>
          <w:sz w:val="24"/>
          <w:szCs w:val="20"/>
          <w:lang w:val="en-GB"/>
        </w:rPr>
        <w:t xml:space="preserve">, BUT if </w:t>
      </w:r>
      <w:proofErr w:type="spellStart"/>
      <w:r>
        <w:rPr>
          <w:rFonts w:ascii="Calibri" w:eastAsia="Times New Roman" w:hAnsi="Calibri" w:cs="Calibri"/>
          <w:i/>
          <w:iCs/>
          <w:sz w:val="24"/>
          <w:szCs w:val="20"/>
          <w:lang w:val="en-GB"/>
        </w:rPr>
        <w:t>ur</w:t>
      </w:r>
      <w:proofErr w:type="spellEnd"/>
      <w:r>
        <w:rPr>
          <w:rFonts w:ascii="Calibri" w:eastAsia="Times New Roman" w:hAnsi="Calibri" w:cs="Calibri"/>
          <w:i/>
          <w:iCs/>
          <w:sz w:val="24"/>
          <w:szCs w:val="20"/>
          <w:lang w:val="en-GB"/>
        </w:rPr>
        <w:t xml:space="preserve"> don’t </w:t>
      </w:r>
      <w:r>
        <w:rPr>
          <w:rFonts w:ascii="Calibri" w:eastAsia="Times New Roman" w:hAnsi="Calibri" w:cs="Calibri"/>
          <w:i/>
          <w:iCs/>
          <w:sz w:val="24"/>
          <w:szCs w:val="20"/>
          <w:u w:val="single"/>
          <w:lang w:val="en-GB"/>
        </w:rPr>
        <w:t>I’</w:t>
      </w:r>
      <w:r w:rsidR="00910D40">
        <w:rPr>
          <w:rFonts w:ascii="Calibri" w:eastAsia="Times New Roman" w:hAnsi="Calibri" w:cs="Calibri"/>
          <w:i/>
          <w:iCs/>
          <w:sz w:val="24"/>
          <w:szCs w:val="20"/>
          <w:u w:val="single"/>
          <w:lang w:val="en-GB"/>
        </w:rPr>
        <w:t xml:space="preserve">m going </w:t>
      </w:r>
      <w:proofErr w:type="spellStart"/>
      <w:r w:rsidR="00910D40">
        <w:rPr>
          <w:rFonts w:ascii="Calibri" w:eastAsia="Times New Roman" w:hAnsi="Calibri" w:cs="Calibri"/>
          <w:i/>
          <w:iCs/>
          <w:sz w:val="24"/>
          <w:szCs w:val="20"/>
          <w:u w:val="single"/>
          <w:lang w:val="en-GB"/>
        </w:rPr>
        <w:t>ro</w:t>
      </w:r>
      <w:proofErr w:type="spellEnd"/>
      <w:r w:rsidR="00910D40">
        <w:rPr>
          <w:rFonts w:ascii="Calibri" w:eastAsia="Times New Roman" w:hAnsi="Calibri" w:cs="Calibri"/>
          <w:i/>
          <w:iCs/>
          <w:sz w:val="24"/>
          <w:szCs w:val="20"/>
          <w:u w:val="single"/>
          <w:lang w:val="en-GB"/>
        </w:rPr>
        <w:t xml:space="preserve"> [sic] jail!!!</w:t>
      </w:r>
    </w:p>
    <w:p w14:paraId="0F23A599" w14:textId="3978BADC" w:rsidR="00910D40" w:rsidRPr="00285939" w:rsidRDefault="00910D40" w:rsidP="006D50DC">
      <w:pPr>
        <w:tabs>
          <w:tab w:val="left" w:pos="709"/>
        </w:tabs>
        <w:spacing w:after="0" w:line="360" w:lineRule="auto"/>
        <w:ind w:left="567"/>
        <w:contextualSpacing/>
        <w:jc w:val="both"/>
        <w:rPr>
          <w:rFonts w:ascii="Calibri" w:eastAsia="Times New Roman" w:hAnsi="Calibri" w:cs="Calibri"/>
          <w:i/>
          <w:iCs/>
          <w:sz w:val="24"/>
          <w:szCs w:val="20"/>
          <w:u w:val="single"/>
          <w:lang w:val="en-GB"/>
        </w:rPr>
      </w:pPr>
      <w:r>
        <w:rPr>
          <w:rFonts w:ascii="Calibri" w:eastAsia="Times New Roman" w:hAnsi="Calibri" w:cs="Calibri"/>
          <w:i/>
          <w:iCs/>
          <w:sz w:val="24"/>
          <w:szCs w:val="20"/>
          <w:lang w:val="en-GB"/>
        </w:rPr>
        <w:t xml:space="preserve">PLEASE if you have anything in </w:t>
      </w:r>
      <w:proofErr w:type="spellStart"/>
      <w:r w:rsidR="001E2D06">
        <w:rPr>
          <w:rFonts w:ascii="Calibri" w:eastAsia="Times New Roman" w:hAnsi="Calibri" w:cs="Calibri"/>
          <w:i/>
          <w:iCs/>
          <w:sz w:val="24"/>
          <w:szCs w:val="20"/>
          <w:lang w:val="en-GB"/>
        </w:rPr>
        <w:t>ur</w:t>
      </w:r>
      <w:proofErr w:type="spellEnd"/>
      <w:r w:rsidR="001E2D06">
        <w:rPr>
          <w:rFonts w:ascii="Calibri" w:eastAsia="Times New Roman" w:hAnsi="Calibri" w:cs="Calibri"/>
          <w:i/>
          <w:iCs/>
          <w:sz w:val="24"/>
          <w:szCs w:val="20"/>
          <w:lang w:val="en-GB"/>
        </w:rPr>
        <w:t xml:space="preserve"> heart for me PLEASE Delete EVERY photo, message EVERYTHING the Police will sweep our phones…FUCK I’m so </w:t>
      </w:r>
      <w:r w:rsidR="00F31513">
        <w:rPr>
          <w:rFonts w:ascii="Calibri" w:eastAsia="Times New Roman" w:hAnsi="Calibri" w:cs="Calibri"/>
          <w:i/>
          <w:iCs/>
          <w:sz w:val="24"/>
          <w:szCs w:val="20"/>
          <w:lang w:val="en-GB"/>
        </w:rPr>
        <w:t xml:space="preserve">scared </w:t>
      </w:r>
      <w:proofErr w:type="gramStart"/>
      <w:r w:rsidR="00F31513">
        <w:rPr>
          <w:rFonts w:ascii="Calibri" w:eastAsia="Times New Roman" w:hAnsi="Calibri" w:cs="Calibri"/>
          <w:i/>
          <w:iCs/>
          <w:sz w:val="24"/>
          <w:szCs w:val="20"/>
          <w:lang w:val="en-GB"/>
        </w:rPr>
        <w:t>WTF”</w:t>
      </w:r>
      <w:proofErr w:type="gramEnd"/>
    </w:p>
    <w:p w14:paraId="4D8C918C" w14:textId="55165C12" w:rsidR="00F31513" w:rsidRDefault="00F31513" w:rsidP="00285939">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Pr>
          <w:rFonts w:ascii="Calibri" w:eastAsia="Times New Roman" w:hAnsi="Calibri" w:cs="Calibri"/>
          <w:sz w:val="24"/>
          <w:szCs w:val="20"/>
          <w:lang w:val="en-GB"/>
        </w:rPr>
        <w:t xml:space="preserve">On </w:t>
      </w:r>
      <w:r w:rsidR="005E41E3">
        <w:rPr>
          <w:rFonts w:ascii="Calibri" w:eastAsia="Times New Roman" w:hAnsi="Calibri" w:cs="Calibri"/>
          <w:sz w:val="24"/>
          <w:szCs w:val="20"/>
          <w:lang w:val="en-GB"/>
        </w:rPr>
        <w:t>[ ]</w:t>
      </w:r>
      <w:r>
        <w:rPr>
          <w:rFonts w:ascii="Calibri" w:eastAsia="Times New Roman" w:hAnsi="Calibri" w:cs="Calibri"/>
          <w:sz w:val="24"/>
          <w:szCs w:val="20"/>
          <w:lang w:val="en-GB"/>
        </w:rPr>
        <w:t xml:space="preserve"> 2018, Police executed a search warrant at the practitioner’s home address</w:t>
      </w:r>
      <w:r w:rsidR="00216262">
        <w:rPr>
          <w:rFonts w:ascii="Calibri" w:eastAsia="Times New Roman" w:hAnsi="Calibri" w:cs="Calibri"/>
          <w:sz w:val="24"/>
          <w:szCs w:val="20"/>
          <w:lang w:val="en-GB"/>
        </w:rPr>
        <w:t>. Upon searching the property, approximately one gram of cannabis in a snap lock bag and a cannabis smoking bong were located in the garage underneath the house.</w:t>
      </w:r>
    </w:p>
    <w:p w14:paraId="2D783BC6" w14:textId="61DD66A7" w:rsidR="00216262" w:rsidRDefault="00216262" w:rsidP="00285939">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Pr>
          <w:rFonts w:ascii="Calibri" w:eastAsia="Times New Roman" w:hAnsi="Calibri" w:cs="Calibri"/>
          <w:sz w:val="24"/>
          <w:szCs w:val="20"/>
          <w:lang w:val="en-GB"/>
        </w:rPr>
        <w:t>When questioned at the search warrant, the practitioner admitted that the cannabis and the bong belonged to her. She declined to make any comment about her relationship with the first complainant.</w:t>
      </w:r>
    </w:p>
    <w:p w14:paraId="05B80C2F" w14:textId="1DD7CE68" w:rsidR="006D5FB1" w:rsidRDefault="006D5FB1" w:rsidP="00285939">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Pr>
          <w:rFonts w:ascii="Calibri" w:eastAsia="Times New Roman" w:hAnsi="Calibri" w:cs="Calibri"/>
          <w:sz w:val="24"/>
          <w:szCs w:val="20"/>
          <w:lang w:val="en-GB"/>
        </w:rPr>
        <w:t>The practitioner had previously appeared before the Court.</w:t>
      </w:r>
      <w:r w:rsidR="00E211D4">
        <w:rPr>
          <w:rFonts w:ascii="Calibri" w:eastAsia="Times New Roman" w:hAnsi="Calibri" w:cs="Calibri"/>
          <w:sz w:val="24"/>
          <w:szCs w:val="20"/>
          <w:lang w:val="en-GB"/>
        </w:rPr>
        <w:t xml:space="preserve"> This was for a minor breath alcohol conviction in 2013</w:t>
      </w:r>
      <w:r w:rsidR="00A66818">
        <w:rPr>
          <w:rFonts w:ascii="Calibri" w:eastAsia="Times New Roman" w:hAnsi="Calibri" w:cs="Calibri"/>
          <w:sz w:val="24"/>
          <w:szCs w:val="20"/>
          <w:lang w:val="en-GB"/>
        </w:rPr>
        <w:t>.</w:t>
      </w:r>
      <w:r w:rsidR="00A66818">
        <w:rPr>
          <w:rStyle w:val="FootnoteReference"/>
          <w:rFonts w:ascii="Calibri" w:eastAsia="Times New Roman" w:hAnsi="Calibri" w:cs="Calibri"/>
          <w:sz w:val="24"/>
          <w:szCs w:val="20"/>
          <w:lang w:val="en-GB"/>
        </w:rPr>
        <w:footnoteReference w:id="11"/>
      </w:r>
    </w:p>
    <w:p w14:paraId="560A76DD" w14:textId="7FAE1968" w:rsidR="00C454C5" w:rsidRDefault="00C838B7" w:rsidP="00285939">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Pr>
          <w:rFonts w:ascii="Calibri" w:eastAsia="Times New Roman" w:hAnsi="Calibri" w:cs="Calibri"/>
          <w:sz w:val="24"/>
          <w:szCs w:val="20"/>
          <w:lang w:val="en-GB"/>
        </w:rPr>
        <w:t>The practitioner</w:t>
      </w:r>
      <w:r w:rsidR="00285939" w:rsidRPr="00285939">
        <w:rPr>
          <w:rFonts w:ascii="Calibri" w:eastAsia="Times New Roman" w:hAnsi="Calibri" w:cs="Calibri"/>
          <w:sz w:val="24"/>
          <w:szCs w:val="20"/>
          <w:lang w:val="en-GB"/>
        </w:rPr>
        <w:t xml:space="preserve"> was charged by Police. </w:t>
      </w:r>
      <w:r>
        <w:rPr>
          <w:rFonts w:ascii="Calibri" w:eastAsia="Times New Roman" w:hAnsi="Calibri" w:cs="Calibri"/>
          <w:sz w:val="24"/>
          <w:szCs w:val="20"/>
          <w:lang w:val="en-GB"/>
        </w:rPr>
        <w:t>She</w:t>
      </w:r>
      <w:r w:rsidR="00285939" w:rsidRPr="00285939">
        <w:rPr>
          <w:rFonts w:ascii="Calibri" w:eastAsia="Times New Roman" w:hAnsi="Calibri" w:cs="Calibri"/>
          <w:sz w:val="24"/>
          <w:szCs w:val="20"/>
          <w:lang w:val="en-GB"/>
        </w:rPr>
        <w:t xml:space="preserve"> pleaded guilty. </w:t>
      </w:r>
      <w:r w:rsidR="00CC1855">
        <w:rPr>
          <w:rFonts w:ascii="Calibri" w:eastAsia="Times New Roman" w:hAnsi="Calibri" w:cs="Calibri"/>
          <w:sz w:val="24"/>
          <w:szCs w:val="20"/>
          <w:lang w:val="en-GB"/>
        </w:rPr>
        <w:t xml:space="preserve">She </w:t>
      </w:r>
      <w:r w:rsidR="00285939" w:rsidRPr="00285939">
        <w:rPr>
          <w:rFonts w:ascii="Calibri" w:eastAsia="Times New Roman" w:hAnsi="Calibri" w:cs="Calibri"/>
          <w:sz w:val="24"/>
          <w:szCs w:val="20"/>
          <w:lang w:val="en-GB"/>
        </w:rPr>
        <w:t xml:space="preserve">was convicted of the </w:t>
      </w:r>
      <w:r w:rsidR="00853B30">
        <w:rPr>
          <w:rFonts w:ascii="Calibri" w:eastAsia="Times New Roman" w:hAnsi="Calibri" w:cs="Calibri"/>
          <w:sz w:val="24"/>
          <w:szCs w:val="20"/>
          <w:lang w:val="en-GB"/>
        </w:rPr>
        <w:t>s</w:t>
      </w:r>
      <w:r w:rsidR="009D2C2A">
        <w:rPr>
          <w:rFonts w:ascii="Calibri" w:eastAsia="Times New Roman" w:hAnsi="Calibri" w:cs="Calibri"/>
          <w:sz w:val="24"/>
          <w:szCs w:val="20"/>
          <w:lang w:val="en-GB"/>
        </w:rPr>
        <w:t>even</w:t>
      </w:r>
      <w:r w:rsidR="00853B30">
        <w:rPr>
          <w:rFonts w:ascii="Calibri" w:eastAsia="Times New Roman" w:hAnsi="Calibri" w:cs="Calibri"/>
          <w:sz w:val="24"/>
          <w:szCs w:val="20"/>
          <w:lang w:val="en-GB"/>
        </w:rPr>
        <w:t xml:space="preserve"> </w:t>
      </w:r>
      <w:r w:rsidR="00285939" w:rsidRPr="00285939">
        <w:rPr>
          <w:rFonts w:ascii="Calibri" w:eastAsia="Times New Roman" w:hAnsi="Calibri" w:cs="Calibri"/>
          <w:sz w:val="24"/>
          <w:szCs w:val="20"/>
          <w:lang w:val="en-GB"/>
        </w:rPr>
        <w:t>charges o</w:t>
      </w:r>
      <w:r w:rsidR="00853B30">
        <w:rPr>
          <w:rFonts w:ascii="Calibri" w:eastAsia="Times New Roman" w:hAnsi="Calibri" w:cs="Calibri"/>
          <w:sz w:val="24"/>
          <w:szCs w:val="20"/>
          <w:lang w:val="en-GB"/>
        </w:rPr>
        <w:t xml:space="preserve">n 4 October 2019 </w:t>
      </w:r>
      <w:r w:rsidR="00285939" w:rsidRPr="00285939">
        <w:rPr>
          <w:rFonts w:ascii="Calibri" w:eastAsia="Times New Roman" w:hAnsi="Calibri" w:cs="Calibri"/>
          <w:sz w:val="24"/>
          <w:szCs w:val="20"/>
          <w:lang w:val="en-GB"/>
        </w:rPr>
        <w:t xml:space="preserve">and sentenced in the District Court </w:t>
      </w:r>
      <w:r w:rsidR="00853B30">
        <w:rPr>
          <w:rFonts w:ascii="Calibri" w:eastAsia="Times New Roman" w:hAnsi="Calibri" w:cs="Calibri"/>
          <w:sz w:val="24"/>
          <w:szCs w:val="20"/>
          <w:lang w:val="en-GB"/>
        </w:rPr>
        <w:t>at Auckland</w:t>
      </w:r>
      <w:r w:rsidR="00C53627">
        <w:rPr>
          <w:rFonts w:ascii="Calibri" w:eastAsia="Times New Roman" w:hAnsi="Calibri" w:cs="Calibri"/>
          <w:sz w:val="24"/>
          <w:szCs w:val="20"/>
          <w:lang w:val="en-GB"/>
        </w:rPr>
        <w:t xml:space="preserve"> </w:t>
      </w:r>
      <w:r w:rsidR="00285939" w:rsidRPr="00285939">
        <w:rPr>
          <w:rFonts w:ascii="Calibri" w:eastAsia="Times New Roman" w:hAnsi="Calibri" w:cs="Calibri"/>
          <w:sz w:val="24"/>
          <w:szCs w:val="20"/>
          <w:lang w:val="en-GB"/>
        </w:rPr>
        <w:t xml:space="preserve">to </w:t>
      </w:r>
      <w:r w:rsidR="00C53627">
        <w:rPr>
          <w:rFonts w:ascii="Calibri" w:eastAsia="Times New Roman" w:hAnsi="Calibri" w:cs="Calibri"/>
          <w:sz w:val="24"/>
          <w:szCs w:val="20"/>
          <w:lang w:val="en-GB"/>
        </w:rPr>
        <w:t>ten months’</w:t>
      </w:r>
      <w:r w:rsidR="00285939" w:rsidRPr="00285939">
        <w:rPr>
          <w:rFonts w:ascii="Calibri" w:eastAsia="Times New Roman" w:hAnsi="Calibri" w:cs="Calibri"/>
          <w:sz w:val="24"/>
          <w:szCs w:val="20"/>
          <w:lang w:val="en-GB"/>
        </w:rPr>
        <w:t xml:space="preserve"> home detention with special conditions</w:t>
      </w:r>
      <w:r w:rsidR="00D0479D">
        <w:rPr>
          <w:rFonts w:ascii="Calibri" w:eastAsia="Times New Roman" w:hAnsi="Calibri" w:cs="Calibri"/>
          <w:sz w:val="24"/>
          <w:szCs w:val="20"/>
          <w:lang w:val="en-GB"/>
        </w:rPr>
        <w:t>. The special conditions</w:t>
      </w:r>
      <w:r w:rsidR="00285939" w:rsidRPr="00285939">
        <w:rPr>
          <w:rFonts w:ascii="Calibri" w:eastAsia="Times New Roman" w:hAnsi="Calibri" w:cs="Calibri"/>
          <w:sz w:val="24"/>
          <w:szCs w:val="20"/>
          <w:lang w:val="en-GB"/>
        </w:rPr>
        <w:t xml:space="preserve">  included that </w:t>
      </w:r>
      <w:r w:rsidR="00D0479D">
        <w:rPr>
          <w:rFonts w:ascii="Calibri" w:eastAsia="Times New Roman" w:hAnsi="Calibri" w:cs="Calibri"/>
          <w:sz w:val="24"/>
          <w:szCs w:val="20"/>
          <w:lang w:val="en-GB"/>
        </w:rPr>
        <w:t>the practitioner</w:t>
      </w:r>
      <w:r w:rsidR="00285939" w:rsidRPr="00285939">
        <w:rPr>
          <w:rFonts w:ascii="Calibri" w:eastAsia="Times New Roman" w:hAnsi="Calibri" w:cs="Calibri"/>
          <w:sz w:val="24"/>
          <w:szCs w:val="20"/>
          <w:lang w:val="en-GB"/>
        </w:rPr>
        <w:t xml:space="preserve"> attend </w:t>
      </w:r>
      <w:r w:rsidR="001928F9">
        <w:rPr>
          <w:rFonts w:ascii="Calibri" w:eastAsia="Times New Roman" w:hAnsi="Calibri" w:cs="Calibri"/>
          <w:sz w:val="24"/>
          <w:szCs w:val="20"/>
          <w:lang w:val="en-GB"/>
        </w:rPr>
        <w:t>an assessment for S</w:t>
      </w:r>
      <w:r w:rsidR="009B5D97">
        <w:rPr>
          <w:rFonts w:ascii="Calibri" w:eastAsia="Times New Roman" w:hAnsi="Calibri" w:cs="Calibri"/>
          <w:sz w:val="24"/>
          <w:szCs w:val="20"/>
          <w:lang w:val="en-GB"/>
        </w:rPr>
        <w:t>AFE</w:t>
      </w:r>
      <w:r w:rsidR="001928F9">
        <w:rPr>
          <w:rFonts w:ascii="Calibri" w:eastAsia="Times New Roman" w:hAnsi="Calibri" w:cs="Calibri"/>
          <w:sz w:val="24"/>
          <w:szCs w:val="20"/>
          <w:lang w:val="en-GB"/>
        </w:rPr>
        <w:t xml:space="preserve"> programme as directed by a probation officer</w:t>
      </w:r>
      <w:r w:rsidR="00EF5FE9">
        <w:rPr>
          <w:rFonts w:ascii="Calibri" w:eastAsia="Times New Roman" w:hAnsi="Calibri" w:cs="Calibri"/>
          <w:sz w:val="24"/>
          <w:szCs w:val="20"/>
          <w:lang w:val="en-GB"/>
        </w:rPr>
        <w:t>, and attend and complete any counselling, treatment or programme as recommended by the assessment, as directed by, and to the satisfaction of a probation officer</w:t>
      </w:r>
      <w:r w:rsidR="00285939" w:rsidRPr="00285939">
        <w:rPr>
          <w:rFonts w:ascii="Calibri" w:eastAsia="Times New Roman" w:hAnsi="Calibri" w:cs="Calibri"/>
          <w:sz w:val="24"/>
          <w:szCs w:val="20"/>
          <w:lang w:val="en-GB"/>
        </w:rPr>
        <w:t>.</w:t>
      </w:r>
      <w:r w:rsidR="00EF5FE9">
        <w:rPr>
          <w:rFonts w:ascii="Calibri" w:eastAsia="Times New Roman" w:hAnsi="Calibri" w:cs="Calibri"/>
          <w:sz w:val="24"/>
          <w:szCs w:val="20"/>
          <w:lang w:val="en-GB"/>
        </w:rPr>
        <w:t xml:space="preserve"> She was also directed to attend an assessment for an alcohol and drug programme, </w:t>
      </w:r>
      <w:r w:rsidR="007762E7">
        <w:rPr>
          <w:rFonts w:ascii="Calibri" w:eastAsia="Times New Roman" w:hAnsi="Calibri" w:cs="Calibri"/>
          <w:sz w:val="24"/>
          <w:szCs w:val="20"/>
          <w:lang w:val="en-GB"/>
        </w:rPr>
        <w:t>and attend and complete any counselling, treatment or programme as recommended to the satisfaction of the probation officer. Further, she would undertake any other assessment, counselling or treatment if directed by the officer.</w:t>
      </w:r>
      <w:r w:rsidR="00285939" w:rsidRPr="00285939">
        <w:rPr>
          <w:rFonts w:ascii="Calibri" w:eastAsia="Times New Roman" w:hAnsi="Calibri" w:cs="Calibri"/>
          <w:sz w:val="24"/>
          <w:szCs w:val="20"/>
          <w:lang w:val="en-GB"/>
        </w:rPr>
        <w:t xml:space="preserve"> </w:t>
      </w:r>
    </w:p>
    <w:p w14:paraId="48DAAA88" w14:textId="053550CC" w:rsidR="00285939" w:rsidRDefault="00C454C5" w:rsidP="00285939">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Pr>
          <w:rFonts w:ascii="Calibri" w:eastAsia="Times New Roman" w:hAnsi="Calibri" w:cs="Calibri"/>
          <w:sz w:val="24"/>
          <w:szCs w:val="20"/>
          <w:lang w:val="en-GB"/>
        </w:rPr>
        <w:t>Further the practitioner</w:t>
      </w:r>
      <w:r w:rsidR="00D0479D">
        <w:rPr>
          <w:rFonts w:ascii="Calibri" w:eastAsia="Times New Roman" w:hAnsi="Calibri" w:cs="Calibri"/>
          <w:sz w:val="24"/>
          <w:szCs w:val="20"/>
          <w:lang w:val="en-GB"/>
        </w:rPr>
        <w:t xml:space="preserve"> was</w:t>
      </w:r>
      <w:r>
        <w:rPr>
          <w:rFonts w:ascii="Calibri" w:eastAsia="Times New Roman" w:hAnsi="Calibri" w:cs="Calibri"/>
          <w:sz w:val="24"/>
          <w:szCs w:val="20"/>
          <w:lang w:val="en-GB"/>
        </w:rPr>
        <w:t xml:space="preserve"> ordered</w:t>
      </w:r>
      <w:r w:rsidR="00DB60A1">
        <w:rPr>
          <w:rFonts w:ascii="Calibri" w:eastAsia="Times New Roman" w:hAnsi="Calibri" w:cs="Calibri"/>
          <w:sz w:val="24"/>
          <w:szCs w:val="20"/>
          <w:lang w:val="en-GB"/>
        </w:rPr>
        <w:t xml:space="preserve"> not to associate with or contact the victim of her offending without prior written approval and she was not to communicate in any way or associate with any person 16 years of age or younger, except [two children]</w:t>
      </w:r>
      <w:r w:rsidR="009616B0">
        <w:rPr>
          <w:rFonts w:ascii="Calibri" w:eastAsia="Times New Roman" w:hAnsi="Calibri" w:cs="Calibri"/>
          <w:sz w:val="24"/>
          <w:szCs w:val="20"/>
          <w:lang w:val="en-GB"/>
        </w:rPr>
        <w:t>, without the prior written approval of the probation officer. She was not to possess, consume or use any alcohol or drugs not prescribed to her and she was ordered not to engage</w:t>
      </w:r>
      <w:r w:rsidR="00E72626">
        <w:rPr>
          <w:rFonts w:ascii="Calibri" w:eastAsia="Times New Roman" w:hAnsi="Calibri" w:cs="Calibri"/>
          <w:sz w:val="24"/>
          <w:szCs w:val="20"/>
          <w:lang w:val="en-GB"/>
        </w:rPr>
        <w:t xml:space="preserve"> in</w:t>
      </w:r>
      <w:r w:rsidR="009616B0">
        <w:rPr>
          <w:rFonts w:ascii="Calibri" w:eastAsia="Times New Roman" w:hAnsi="Calibri" w:cs="Calibri"/>
          <w:sz w:val="24"/>
          <w:szCs w:val="20"/>
          <w:lang w:val="en-GB"/>
        </w:rPr>
        <w:t xml:space="preserve"> or commence training, employment or other work without the prior written approval of </w:t>
      </w:r>
      <w:r w:rsidR="009616B0">
        <w:rPr>
          <w:rFonts w:ascii="Calibri" w:eastAsia="Times New Roman" w:hAnsi="Calibri" w:cs="Calibri"/>
          <w:sz w:val="24"/>
          <w:szCs w:val="20"/>
          <w:lang w:val="en-GB"/>
        </w:rPr>
        <w:lastRenderedPageBreak/>
        <w:t xml:space="preserve">the probation officer. </w:t>
      </w:r>
      <w:r w:rsidR="006260D9">
        <w:rPr>
          <w:rFonts w:ascii="Calibri" w:eastAsia="Times New Roman" w:hAnsi="Calibri" w:cs="Calibri"/>
          <w:sz w:val="24"/>
          <w:szCs w:val="20"/>
          <w:lang w:val="en-GB"/>
        </w:rPr>
        <w:t>Post detention condition</w:t>
      </w:r>
      <w:r w:rsidR="00E72626">
        <w:rPr>
          <w:rFonts w:ascii="Calibri" w:eastAsia="Times New Roman" w:hAnsi="Calibri" w:cs="Calibri"/>
          <w:sz w:val="24"/>
          <w:szCs w:val="20"/>
          <w:lang w:val="en-GB"/>
        </w:rPr>
        <w:t>s</w:t>
      </w:r>
      <w:r w:rsidR="006260D9">
        <w:rPr>
          <w:rFonts w:ascii="Calibri" w:eastAsia="Times New Roman" w:hAnsi="Calibri" w:cs="Calibri"/>
          <w:sz w:val="24"/>
          <w:szCs w:val="20"/>
          <w:lang w:val="en-GB"/>
        </w:rPr>
        <w:t xml:space="preserve"> of the same nature as those conditions were also made, to endure for six months.</w:t>
      </w:r>
      <w:r w:rsidR="004C55B0">
        <w:rPr>
          <w:rFonts w:ascii="Calibri" w:eastAsia="Times New Roman" w:hAnsi="Calibri" w:cs="Calibri"/>
          <w:sz w:val="24"/>
          <w:szCs w:val="20"/>
          <w:lang w:val="en-GB"/>
        </w:rPr>
        <w:t xml:space="preserve"> The Judge recognised that the sentence itself was a “significant one”. No other con</w:t>
      </w:r>
      <w:r w:rsidR="00072704">
        <w:rPr>
          <w:rFonts w:ascii="Calibri" w:eastAsia="Times New Roman" w:hAnsi="Calibri" w:cs="Calibri"/>
          <w:sz w:val="24"/>
          <w:szCs w:val="20"/>
          <w:lang w:val="en-GB"/>
        </w:rPr>
        <w:t>ditions were imposed.</w:t>
      </w:r>
    </w:p>
    <w:p w14:paraId="4BBFF411" w14:textId="322F6405" w:rsidR="00072704" w:rsidRDefault="00072704" w:rsidP="00285939">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Pr>
          <w:rFonts w:ascii="Calibri" w:eastAsia="Times New Roman" w:hAnsi="Calibri" w:cs="Calibri"/>
          <w:sz w:val="24"/>
          <w:szCs w:val="20"/>
          <w:lang w:val="en-GB"/>
        </w:rPr>
        <w:t>The practitioner received a</w:t>
      </w:r>
      <w:r w:rsidR="007940D1">
        <w:rPr>
          <w:rFonts w:ascii="Calibri" w:eastAsia="Times New Roman" w:hAnsi="Calibri" w:cs="Calibri"/>
          <w:sz w:val="24"/>
          <w:szCs w:val="20"/>
          <w:lang w:val="en-GB"/>
        </w:rPr>
        <w:t xml:space="preserve"> first strike</w:t>
      </w:r>
      <w:r>
        <w:rPr>
          <w:rFonts w:ascii="Calibri" w:eastAsia="Times New Roman" w:hAnsi="Calibri" w:cs="Calibri"/>
          <w:sz w:val="24"/>
          <w:szCs w:val="20"/>
          <w:lang w:val="en-GB"/>
        </w:rPr>
        <w:t xml:space="preserve"> warning</w:t>
      </w:r>
      <w:r w:rsidR="007940D1">
        <w:rPr>
          <w:rFonts w:ascii="Calibri" w:eastAsia="Times New Roman" w:hAnsi="Calibri" w:cs="Calibri"/>
          <w:sz w:val="24"/>
          <w:szCs w:val="20"/>
          <w:lang w:val="en-GB"/>
        </w:rPr>
        <w:t xml:space="preserve"> of the consequences of another serious violence conviction</w:t>
      </w:r>
      <w:r>
        <w:rPr>
          <w:rFonts w:ascii="Calibri" w:eastAsia="Times New Roman" w:hAnsi="Calibri" w:cs="Calibri"/>
          <w:sz w:val="24"/>
          <w:szCs w:val="20"/>
          <w:lang w:val="en-GB"/>
        </w:rPr>
        <w:t>, given her conviction for sexual conduct with a young person under the age of 16 years.</w:t>
      </w:r>
      <w:r w:rsidR="0085657D">
        <w:rPr>
          <w:rFonts w:ascii="Calibri" w:eastAsia="Times New Roman" w:hAnsi="Calibri" w:cs="Calibri"/>
          <w:sz w:val="24"/>
          <w:szCs w:val="20"/>
          <w:lang w:val="en-GB"/>
        </w:rPr>
        <w:t xml:space="preserve"> </w:t>
      </w:r>
      <w:r w:rsidR="009D4F32">
        <w:rPr>
          <w:rFonts w:ascii="Calibri" w:eastAsia="Times New Roman" w:hAnsi="Calibri" w:cs="Calibri"/>
          <w:sz w:val="24"/>
          <w:szCs w:val="20"/>
          <w:lang w:val="en-GB"/>
        </w:rPr>
        <w:t>The Judge declined to make an order placing her on the Child Sex Offender</w:t>
      </w:r>
      <w:r w:rsidR="00D57F8D">
        <w:rPr>
          <w:rFonts w:ascii="Calibri" w:eastAsia="Times New Roman" w:hAnsi="Calibri" w:cs="Calibri"/>
          <w:sz w:val="24"/>
          <w:szCs w:val="20"/>
          <w:lang w:val="en-GB"/>
        </w:rPr>
        <w:t xml:space="preserve"> (CSO)</w:t>
      </w:r>
      <w:r w:rsidR="009D4F32">
        <w:rPr>
          <w:rFonts w:ascii="Calibri" w:eastAsia="Times New Roman" w:hAnsi="Calibri" w:cs="Calibri"/>
          <w:sz w:val="24"/>
          <w:szCs w:val="20"/>
          <w:lang w:val="en-GB"/>
        </w:rPr>
        <w:t xml:space="preserve"> Register because he regarded that offence as a “one off offence” and registration was not necessarily in </w:t>
      </w:r>
      <w:r w:rsidR="003E00F1">
        <w:rPr>
          <w:rFonts w:ascii="Calibri" w:eastAsia="Times New Roman" w:hAnsi="Calibri" w:cs="Calibri"/>
          <w:sz w:val="24"/>
          <w:szCs w:val="20"/>
          <w:lang w:val="en-GB"/>
        </w:rPr>
        <w:t>the</w:t>
      </w:r>
      <w:r w:rsidR="009D4F32">
        <w:rPr>
          <w:rFonts w:ascii="Calibri" w:eastAsia="Times New Roman" w:hAnsi="Calibri" w:cs="Calibri"/>
          <w:sz w:val="24"/>
          <w:szCs w:val="20"/>
          <w:lang w:val="en-GB"/>
        </w:rPr>
        <w:t xml:space="preserve"> interests of protection of the community.</w:t>
      </w:r>
    </w:p>
    <w:p w14:paraId="5F1CDA53" w14:textId="77777777" w:rsidR="00E72626" w:rsidRDefault="00E72626" w:rsidP="00E72626">
      <w:pPr>
        <w:tabs>
          <w:tab w:val="left" w:pos="709"/>
        </w:tabs>
        <w:spacing w:after="0" w:line="360" w:lineRule="auto"/>
        <w:ind w:left="567"/>
        <w:contextualSpacing/>
        <w:jc w:val="both"/>
        <w:rPr>
          <w:rFonts w:ascii="Calibri" w:eastAsia="Times New Roman" w:hAnsi="Calibri" w:cs="Calibri"/>
          <w:sz w:val="24"/>
          <w:szCs w:val="20"/>
          <w:lang w:val="en-GB"/>
        </w:rPr>
      </w:pPr>
    </w:p>
    <w:p w14:paraId="5D48D1D0" w14:textId="5A5CB8EE" w:rsidR="00E72626" w:rsidRPr="00E72626" w:rsidRDefault="00E72626" w:rsidP="00E72626">
      <w:pPr>
        <w:tabs>
          <w:tab w:val="left" w:pos="709"/>
        </w:tabs>
        <w:spacing w:after="0" w:line="360" w:lineRule="auto"/>
        <w:contextualSpacing/>
        <w:jc w:val="both"/>
        <w:rPr>
          <w:rFonts w:ascii="Calibri" w:eastAsia="Times New Roman" w:hAnsi="Calibri" w:cs="Calibri"/>
          <w:i/>
          <w:iCs/>
          <w:sz w:val="24"/>
          <w:szCs w:val="20"/>
          <w:lang w:val="en-GB"/>
        </w:rPr>
      </w:pPr>
      <w:r>
        <w:rPr>
          <w:rFonts w:ascii="Calibri" w:eastAsia="Times New Roman" w:hAnsi="Calibri" w:cs="Calibri"/>
          <w:i/>
          <w:iCs/>
          <w:sz w:val="24"/>
          <w:szCs w:val="20"/>
          <w:lang w:val="en-GB"/>
        </w:rPr>
        <w:t>Practitioner’s personal circumstances</w:t>
      </w:r>
    </w:p>
    <w:p w14:paraId="0E73DCF0" w14:textId="77950D90" w:rsidR="00CD62AC" w:rsidRDefault="00945124" w:rsidP="00285939">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Pr>
          <w:rFonts w:ascii="Calibri" w:eastAsia="Times New Roman" w:hAnsi="Calibri" w:cs="Calibri"/>
          <w:sz w:val="24"/>
          <w:szCs w:val="20"/>
          <w:lang w:val="en-GB"/>
        </w:rPr>
        <w:t xml:space="preserve">Relevant </w:t>
      </w:r>
      <w:r w:rsidR="00065938">
        <w:rPr>
          <w:rFonts w:ascii="Calibri" w:eastAsia="Times New Roman" w:hAnsi="Calibri" w:cs="Calibri"/>
          <w:sz w:val="24"/>
          <w:szCs w:val="20"/>
          <w:lang w:val="en-GB"/>
        </w:rPr>
        <w:t xml:space="preserve">more </w:t>
      </w:r>
      <w:r>
        <w:rPr>
          <w:rFonts w:ascii="Calibri" w:eastAsia="Times New Roman" w:hAnsi="Calibri" w:cs="Calibri"/>
          <w:sz w:val="24"/>
          <w:szCs w:val="20"/>
          <w:lang w:val="en-GB"/>
        </w:rPr>
        <w:t>to penalty as discussed below, w</w:t>
      </w:r>
      <w:r w:rsidR="00CD62AC">
        <w:rPr>
          <w:rFonts w:ascii="Calibri" w:eastAsia="Times New Roman" w:hAnsi="Calibri" w:cs="Calibri"/>
          <w:sz w:val="24"/>
          <w:szCs w:val="20"/>
          <w:lang w:val="en-GB"/>
        </w:rPr>
        <w:t xml:space="preserve">hen the practitioner was sentenced the </w:t>
      </w:r>
      <w:r w:rsidR="00E72626">
        <w:rPr>
          <w:rFonts w:ascii="Calibri" w:eastAsia="Times New Roman" w:hAnsi="Calibri" w:cs="Calibri"/>
          <w:sz w:val="24"/>
          <w:szCs w:val="20"/>
          <w:lang w:val="en-GB"/>
        </w:rPr>
        <w:t xml:space="preserve">District Court </w:t>
      </w:r>
      <w:r w:rsidR="00CD62AC">
        <w:rPr>
          <w:rFonts w:ascii="Calibri" w:eastAsia="Times New Roman" w:hAnsi="Calibri" w:cs="Calibri"/>
          <w:sz w:val="24"/>
          <w:szCs w:val="20"/>
          <w:lang w:val="en-GB"/>
        </w:rPr>
        <w:t>Judge considered that at the time of her offending</w:t>
      </w:r>
      <w:r w:rsidR="005C7E2E">
        <w:rPr>
          <w:rFonts w:ascii="Calibri" w:eastAsia="Times New Roman" w:hAnsi="Calibri" w:cs="Calibri"/>
          <w:sz w:val="24"/>
          <w:szCs w:val="20"/>
          <w:lang w:val="en-GB"/>
        </w:rPr>
        <w:t xml:space="preserve">, </w:t>
      </w:r>
      <w:r w:rsidR="00CD62AC">
        <w:rPr>
          <w:rFonts w:ascii="Calibri" w:eastAsia="Times New Roman" w:hAnsi="Calibri" w:cs="Calibri"/>
          <w:sz w:val="24"/>
          <w:szCs w:val="20"/>
          <w:lang w:val="en-GB"/>
        </w:rPr>
        <w:t>she was under a significant amount of stress including her child’s admission to hospital</w:t>
      </w:r>
      <w:r w:rsidR="00D577ED">
        <w:rPr>
          <w:rFonts w:ascii="Calibri" w:eastAsia="Times New Roman" w:hAnsi="Calibri" w:cs="Calibri"/>
          <w:sz w:val="24"/>
          <w:szCs w:val="20"/>
          <w:lang w:val="en-GB"/>
        </w:rPr>
        <w:t xml:space="preserve">, </w:t>
      </w:r>
      <w:r w:rsidR="00CD62AC">
        <w:rPr>
          <w:rFonts w:ascii="Calibri" w:eastAsia="Times New Roman" w:hAnsi="Calibri" w:cs="Calibri"/>
          <w:sz w:val="24"/>
          <w:szCs w:val="20"/>
          <w:lang w:val="en-GB"/>
        </w:rPr>
        <w:t xml:space="preserve">unresolved grief </w:t>
      </w:r>
      <w:r w:rsidR="00C56C80">
        <w:rPr>
          <w:rFonts w:ascii="Calibri" w:eastAsia="Times New Roman" w:hAnsi="Calibri" w:cs="Calibri"/>
          <w:sz w:val="24"/>
          <w:szCs w:val="20"/>
          <w:lang w:val="en-GB"/>
        </w:rPr>
        <w:t>and loss</w:t>
      </w:r>
      <w:r w:rsidR="00AD1186">
        <w:rPr>
          <w:rFonts w:ascii="Calibri" w:eastAsia="Times New Roman" w:hAnsi="Calibri" w:cs="Calibri"/>
          <w:sz w:val="24"/>
          <w:szCs w:val="20"/>
          <w:lang w:val="en-GB"/>
        </w:rPr>
        <w:t xml:space="preserve"> including that </w:t>
      </w:r>
      <w:r w:rsidR="00FB65C9">
        <w:rPr>
          <w:rFonts w:ascii="Calibri" w:eastAsia="Times New Roman" w:hAnsi="Calibri" w:cs="Calibri"/>
          <w:sz w:val="24"/>
          <w:szCs w:val="20"/>
          <w:lang w:val="en-GB"/>
        </w:rPr>
        <w:t xml:space="preserve">which </w:t>
      </w:r>
      <w:r w:rsidR="00117184">
        <w:rPr>
          <w:rFonts w:ascii="Calibri" w:eastAsia="Times New Roman" w:hAnsi="Calibri" w:cs="Calibri"/>
          <w:sz w:val="24"/>
          <w:szCs w:val="20"/>
          <w:lang w:val="en-GB"/>
        </w:rPr>
        <w:t xml:space="preserve">was </w:t>
      </w:r>
      <w:r w:rsidR="00AD1186">
        <w:rPr>
          <w:rFonts w:ascii="Calibri" w:eastAsia="Times New Roman" w:hAnsi="Calibri" w:cs="Calibri"/>
          <w:sz w:val="24"/>
          <w:szCs w:val="20"/>
          <w:lang w:val="en-GB"/>
        </w:rPr>
        <w:t xml:space="preserve">associated with her </w:t>
      </w:r>
      <w:r w:rsidR="006D715C">
        <w:rPr>
          <w:rFonts w:ascii="Calibri" w:eastAsia="Times New Roman" w:hAnsi="Calibri" w:cs="Calibri"/>
          <w:sz w:val="24"/>
          <w:szCs w:val="20"/>
          <w:lang w:val="en-GB"/>
        </w:rPr>
        <w:t>upbringing</w:t>
      </w:r>
      <w:r w:rsidR="006D715C">
        <w:rPr>
          <w:rStyle w:val="FootnoteReference"/>
          <w:rFonts w:ascii="Calibri" w:eastAsia="Times New Roman" w:hAnsi="Calibri" w:cs="Calibri"/>
          <w:sz w:val="24"/>
          <w:szCs w:val="20"/>
          <w:lang w:val="en-GB"/>
        </w:rPr>
        <w:footnoteReference w:id="12"/>
      </w:r>
      <w:r w:rsidR="00C56C80">
        <w:rPr>
          <w:rFonts w:ascii="Calibri" w:eastAsia="Times New Roman" w:hAnsi="Calibri" w:cs="Calibri"/>
          <w:sz w:val="24"/>
          <w:szCs w:val="20"/>
          <w:lang w:val="en-GB"/>
        </w:rPr>
        <w:t xml:space="preserve">, </w:t>
      </w:r>
      <w:r w:rsidR="00CD62AC">
        <w:rPr>
          <w:rFonts w:ascii="Calibri" w:eastAsia="Times New Roman" w:hAnsi="Calibri" w:cs="Calibri"/>
          <w:sz w:val="24"/>
          <w:szCs w:val="20"/>
          <w:lang w:val="en-GB"/>
        </w:rPr>
        <w:t xml:space="preserve">and relationship </w:t>
      </w:r>
      <w:r w:rsidR="00794523">
        <w:rPr>
          <w:rFonts w:ascii="Calibri" w:eastAsia="Times New Roman" w:hAnsi="Calibri" w:cs="Calibri"/>
          <w:sz w:val="24"/>
          <w:szCs w:val="20"/>
          <w:lang w:val="en-GB"/>
        </w:rPr>
        <w:t>issues</w:t>
      </w:r>
      <w:r w:rsidR="00CD62AC">
        <w:rPr>
          <w:rFonts w:ascii="Calibri" w:eastAsia="Times New Roman" w:hAnsi="Calibri" w:cs="Calibri"/>
          <w:sz w:val="24"/>
          <w:szCs w:val="20"/>
          <w:lang w:val="en-GB"/>
        </w:rPr>
        <w:t xml:space="preserve">. Further, at the time of the offending the practitioner </w:t>
      </w:r>
      <w:r w:rsidR="00DF43BF">
        <w:rPr>
          <w:rFonts w:ascii="Calibri" w:eastAsia="Times New Roman" w:hAnsi="Calibri" w:cs="Calibri"/>
          <w:sz w:val="24"/>
          <w:szCs w:val="20"/>
          <w:lang w:val="en-GB"/>
        </w:rPr>
        <w:t xml:space="preserve">was suffering from work </w:t>
      </w:r>
      <w:r w:rsidR="002460B6">
        <w:rPr>
          <w:rFonts w:ascii="Calibri" w:eastAsia="Times New Roman" w:hAnsi="Calibri" w:cs="Calibri"/>
          <w:sz w:val="24"/>
          <w:szCs w:val="20"/>
          <w:lang w:val="en-GB"/>
        </w:rPr>
        <w:t xml:space="preserve">pressure and </w:t>
      </w:r>
      <w:r w:rsidR="00DF43BF">
        <w:rPr>
          <w:rFonts w:ascii="Calibri" w:eastAsia="Times New Roman" w:hAnsi="Calibri" w:cs="Calibri"/>
          <w:sz w:val="24"/>
          <w:szCs w:val="20"/>
          <w:lang w:val="en-GB"/>
        </w:rPr>
        <w:t xml:space="preserve">stress associated with </w:t>
      </w:r>
      <w:r w:rsidR="00CD62AC">
        <w:rPr>
          <w:rFonts w:ascii="Calibri" w:eastAsia="Times New Roman" w:hAnsi="Calibri" w:cs="Calibri"/>
          <w:sz w:val="24"/>
          <w:szCs w:val="20"/>
          <w:lang w:val="en-GB"/>
        </w:rPr>
        <w:t>ha</w:t>
      </w:r>
      <w:r w:rsidR="00DF43BF">
        <w:rPr>
          <w:rFonts w:ascii="Calibri" w:eastAsia="Times New Roman" w:hAnsi="Calibri" w:cs="Calibri"/>
          <w:sz w:val="24"/>
          <w:szCs w:val="20"/>
          <w:lang w:val="en-GB"/>
        </w:rPr>
        <w:t>ving</w:t>
      </w:r>
      <w:r w:rsidR="00CD62AC">
        <w:rPr>
          <w:rFonts w:ascii="Calibri" w:eastAsia="Times New Roman" w:hAnsi="Calibri" w:cs="Calibri"/>
          <w:sz w:val="24"/>
          <w:szCs w:val="20"/>
          <w:lang w:val="en-GB"/>
        </w:rPr>
        <w:t xml:space="preserve"> a very high caseload</w:t>
      </w:r>
      <w:r w:rsidR="00347249">
        <w:rPr>
          <w:rFonts w:ascii="Calibri" w:eastAsia="Times New Roman" w:hAnsi="Calibri" w:cs="Calibri"/>
          <w:sz w:val="24"/>
          <w:szCs w:val="20"/>
          <w:lang w:val="en-GB"/>
        </w:rPr>
        <w:t xml:space="preserve"> between </w:t>
      </w:r>
      <w:r w:rsidR="005E41E3">
        <w:rPr>
          <w:rFonts w:ascii="Calibri" w:eastAsia="Times New Roman" w:hAnsi="Calibri" w:cs="Calibri"/>
          <w:sz w:val="24"/>
          <w:szCs w:val="20"/>
          <w:lang w:val="en-GB"/>
        </w:rPr>
        <w:t>[ ]</w:t>
      </w:r>
      <w:r w:rsidR="00347249">
        <w:rPr>
          <w:rFonts w:ascii="Calibri" w:eastAsia="Times New Roman" w:hAnsi="Calibri" w:cs="Calibri"/>
          <w:sz w:val="24"/>
          <w:szCs w:val="20"/>
          <w:lang w:val="en-GB"/>
        </w:rPr>
        <w:t xml:space="preserve"> 2018</w:t>
      </w:r>
      <w:r w:rsidR="00CD62AC">
        <w:rPr>
          <w:rFonts w:ascii="Calibri" w:eastAsia="Times New Roman" w:hAnsi="Calibri" w:cs="Calibri"/>
          <w:sz w:val="24"/>
          <w:szCs w:val="20"/>
          <w:lang w:val="en-GB"/>
        </w:rPr>
        <w:t xml:space="preserve"> </w:t>
      </w:r>
      <w:r w:rsidR="00DF43BF">
        <w:rPr>
          <w:rFonts w:ascii="Calibri" w:eastAsia="Times New Roman" w:hAnsi="Calibri" w:cs="Calibri"/>
          <w:sz w:val="24"/>
          <w:szCs w:val="20"/>
          <w:lang w:val="en-GB"/>
        </w:rPr>
        <w:t>(</w:t>
      </w:r>
      <w:r w:rsidR="00CD62AC">
        <w:rPr>
          <w:rFonts w:ascii="Calibri" w:eastAsia="Times New Roman" w:hAnsi="Calibri" w:cs="Calibri"/>
          <w:sz w:val="24"/>
          <w:szCs w:val="20"/>
          <w:lang w:val="en-GB"/>
        </w:rPr>
        <w:t xml:space="preserve">42 </w:t>
      </w:r>
      <w:r w:rsidR="00065938">
        <w:rPr>
          <w:rFonts w:ascii="Calibri" w:eastAsia="Times New Roman" w:hAnsi="Calibri" w:cs="Calibri"/>
          <w:sz w:val="24"/>
          <w:szCs w:val="20"/>
          <w:lang w:val="en-GB"/>
        </w:rPr>
        <w:t>cases</w:t>
      </w:r>
      <w:r w:rsidR="002460B6">
        <w:rPr>
          <w:rFonts w:ascii="Calibri" w:eastAsia="Times New Roman" w:hAnsi="Calibri" w:cs="Calibri"/>
          <w:sz w:val="24"/>
          <w:szCs w:val="20"/>
          <w:lang w:val="en-GB"/>
        </w:rPr>
        <w:t>)</w:t>
      </w:r>
      <w:r w:rsidR="00A9019B">
        <w:rPr>
          <w:rFonts w:ascii="Calibri" w:eastAsia="Times New Roman" w:hAnsi="Calibri" w:cs="Calibri"/>
          <w:sz w:val="24"/>
          <w:szCs w:val="20"/>
          <w:lang w:val="en-GB"/>
        </w:rPr>
        <w:t xml:space="preserve">, </w:t>
      </w:r>
      <w:r w:rsidR="00CD62AC">
        <w:rPr>
          <w:rFonts w:ascii="Calibri" w:eastAsia="Times New Roman" w:hAnsi="Calibri" w:cs="Calibri"/>
          <w:sz w:val="24"/>
          <w:szCs w:val="20"/>
          <w:lang w:val="en-GB"/>
        </w:rPr>
        <w:t>and no supervisor</w:t>
      </w:r>
      <w:r w:rsidR="00347249">
        <w:rPr>
          <w:rFonts w:ascii="Calibri" w:eastAsia="Times New Roman" w:hAnsi="Calibri" w:cs="Calibri"/>
          <w:sz w:val="24"/>
          <w:szCs w:val="20"/>
          <w:lang w:val="en-GB"/>
        </w:rPr>
        <w:t xml:space="preserve">, due to </w:t>
      </w:r>
      <w:r w:rsidR="00D73ECE">
        <w:rPr>
          <w:rFonts w:ascii="Calibri" w:eastAsia="Times New Roman" w:hAnsi="Calibri" w:cs="Calibri"/>
          <w:sz w:val="24"/>
          <w:szCs w:val="20"/>
          <w:lang w:val="en-GB"/>
        </w:rPr>
        <w:t>staff changes</w:t>
      </w:r>
      <w:r w:rsidR="00CD62AC">
        <w:rPr>
          <w:rFonts w:ascii="Calibri" w:eastAsia="Times New Roman" w:hAnsi="Calibri" w:cs="Calibri"/>
          <w:sz w:val="24"/>
          <w:szCs w:val="20"/>
          <w:lang w:val="en-GB"/>
        </w:rPr>
        <w:t xml:space="preserve">. </w:t>
      </w:r>
      <w:r w:rsidR="005C7E2E">
        <w:rPr>
          <w:rFonts w:ascii="Calibri" w:eastAsia="Times New Roman" w:hAnsi="Calibri" w:cs="Calibri"/>
          <w:sz w:val="24"/>
          <w:szCs w:val="20"/>
          <w:lang w:val="en-GB"/>
        </w:rPr>
        <w:t xml:space="preserve"> The </w:t>
      </w:r>
      <w:r w:rsidR="00F47A13">
        <w:rPr>
          <w:rFonts w:ascii="Calibri" w:eastAsia="Times New Roman" w:hAnsi="Calibri" w:cs="Calibri"/>
          <w:sz w:val="24"/>
          <w:szCs w:val="20"/>
          <w:lang w:val="en-GB"/>
        </w:rPr>
        <w:t>Judge described this as “burnout in the worst sense”</w:t>
      </w:r>
      <w:r w:rsidR="00F47A13">
        <w:rPr>
          <w:rStyle w:val="FootnoteReference"/>
          <w:rFonts w:ascii="Calibri" w:eastAsia="Times New Roman" w:hAnsi="Calibri" w:cs="Calibri"/>
          <w:sz w:val="24"/>
          <w:szCs w:val="20"/>
          <w:lang w:val="en-GB"/>
        </w:rPr>
        <w:footnoteReference w:id="13"/>
      </w:r>
      <w:r w:rsidR="005C7E2E">
        <w:rPr>
          <w:rFonts w:ascii="Calibri" w:eastAsia="Times New Roman" w:hAnsi="Calibri" w:cs="Calibri"/>
          <w:sz w:val="24"/>
          <w:szCs w:val="20"/>
          <w:lang w:val="en-GB"/>
        </w:rPr>
        <w:t>. The Judge also noted that the offending was isolated</w:t>
      </w:r>
      <w:r w:rsidR="009A061C">
        <w:rPr>
          <w:rFonts w:ascii="Calibri" w:eastAsia="Times New Roman" w:hAnsi="Calibri" w:cs="Calibri"/>
          <w:sz w:val="24"/>
          <w:szCs w:val="20"/>
          <w:lang w:val="en-GB"/>
        </w:rPr>
        <w:t>,</w:t>
      </w:r>
      <w:r w:rsidR="005C7E2E">
        <w:rPr>
          <w:rFonts w:ascii="Calibri" w:eastAsia="Times New Roman" w:hAnsi="Calibri" w:cs="Calibri"/>
          <w:sz w:val="24"/>
          <w:szCs w:val="20"/>
          <w:lang w:val="en-GB"/>
        </w:rPr>
        <w:t xml:space="preserve"> a</w:t>
      </w:r>
      <w:r w:rsidR="009A061C">
        <w:rPr>
          <w:rFonts w:ascii="Calibri" w:eastAsia="Times New Roman" w:hAnsi="Calibri" w:cs="Calibri"/>
          <w:sz w:val="24"/>
          <w:szCs w:val="20"/>
          <w:lang w:val="en-GB"/>
        </w:rPr>
        <w:t>nd</w:t>
      </w:r>
      <w:r w:rsidR="005C7E2E">
        <w:rPr>
          <w:rFonts w:ascii="Calibri" w:eastAsia="Times New Roman" w:hAnsi="Calibri" w:cs="Calibri"/>
          <w:sz w:val="24"/>
          <w:szCs w:val="20"/>
          <w:lang w:val="en-GB"/>
        </w:rPr>
        <w:t xml:space="preserve"> he did not consider the practitioner to have a high risk of reoffending</w:t>
      </w:r>
      <w:r w:rsidR="00B410D9">
        <w:rPr>
          <w:rFonts w:ascii="Calibri" w:eastAsia="Times New Roman" w:hAnsi="Calibri" w:cs="Calibri"/>
          <w:sz w:val="24"/>
          <w:szCs w:val="20"/>
          <w:lang w:val="en-GB"/>
        </w:rPr>
        <w:t xml:space="preserve"> against a child</w:t>
      </w:r>
      <w:r w:rsidR="005C7E2E">
        <w:rPr>
          <w:rFonts w:ascii="Calibri" w:eastAsia="Times New Roman" w:hAnsi="Calibri" w:cs="Calibri"/>
          <w:sz w:val="24"/>
          <w:szCs w:val="20"/>
          <w:lang w:val="en-GB"/>
        </w:rPr>
        <w:t>.</w:t>
      </w:r>
      <w:r w:rsidR="009A061C">
        <w:rPr>
          <w:rFonts w:ascii="Calibri" w:eastAsia="Times New Roman" w:hAnsi="Calibri" w:cs="Calibri"/>
          <w:sz w:val="24"/>
          <w:szCs w:val="20"/>
          <w:lang w:val="en-GB"/>
        </w:rPr>
        <w:t xml:space="preserve"> The Judge commented </w:t>
      </w:r>
      <w:r w:rsidR="00A9019B">
        <w:rPr>
          <w:rFonts w:ascii="Calibri" w:eastAsia="Times New Roman" w:hAnsi="Calibri" w:cs="Calibri"/>
          <w:sz w:val="24"/>
          <w:szCs w:val="20"/>
          <w:lang w:val="en-GB"/>
        </w:rPr>
        <w:t xml:space="preserve">also </w:t>
      </w:r>
      <w:r w:rsidR="009A061C">
        <w:rPr>
          <w:rFonts w:ascii="Calibri" w:eastAsia="Times New Roman" w:hAnsi="Calibri" w:cs="Calibri"/>
          <w:sz w:val="24"/>
          <w:szCs w:val="20"/>
          <w:lang w:val="en-GB"/>
        </w:rPr>
        <w:t>that this was “no</w:t>
      </w:r>
      <w:r w:rsidR="00065938">
        <w:rPr>
          <w:rFonts w:ascii="Calibri" w:eastAsia="Times New Roman" w:hAnsi="Calibri" w:cs="Calibri"/>
          <w:sz w:val="24"/>
          <w:szCs w:val="20"/>
          <w:lang w:val="en-GB"/>
        </w:rPr>
        <w:t>t</w:t>
      </w:r>
      <w:r w:rsidR="009A061C">
        <w:rPr>
          <w:rFonts w:ascii="Calibri" w:eastAsia="Times New Roman" w:hAnsi="Calibri" w:cs="Calibri"/>
          <w:sz w:val="24"/>
          <w:szCs w:val="20"/>
          <w:lang w:val="en-GB"/>
        </w:rPr>
        <w:t xml:space="preserve"> the case of usual predatory behaviour seen in Court”.</w:t>
      </w:r>
    </w:p>
    <w:p w14:paraId="75943404" w14:textId="2C6B86E1" w:rsidR="006E5D96" w:rsidRDefault="006E5D96" w:rsidP="00285939">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Pr>
          <w:rFonts w:ascii="Calibri" w:eastAsia="Times New Roman" w:hAnsi="Calibri" w:cs="Calibri"/>
          <w:sz w:val="24"/>
          <w:szCs w:val="20"/>
          <w:lang w:val="en-GB"/>
        </w:rPr>
        <w:t>In her interview with the PCC the practitioner accepted full responsibility for her offending and the conviction</w:t>
      </w:r>
      <w:r w:rsidR="00A9019B">
        <w:rPr>
          <w:rFonts w:ascii="Calibri" w:eastAsia="Times New Roman" w:hAnsi="Calibri" w:cs="Calibri"/>
          <w:sz w:val="24"/>
          <w:szCs w:val="20"/>
          <w:lang w:val="en-GB"/>
        </w:rPr>
        <w:t>s</w:t>
      </w:r>
      <w:r w:rsidR="006E3A95">
        <w:rPr>
          <w:rFonts w:ascii="Calibri" w:eastAsia="Times New Roman" w:hAnsi="Calibri" w:cs="Calibri"/>
          <w:sz w:val="24"/>
          <w:szCs w:val="20"/>
          <w:lang w:val="en-GB"/>
        </w:rPr>
        <w:t xml:space="preserve">. She acknowledged the effect of her actions on her victim and the other victims </w:t>
      </w:r>
      <w:r w:rsidR="00F1786D">
        <w:rPr>
          <w:rFonts w:ascii="Calibri" w:eastAsia="Times New Roman" w:hAnsi="Calibri" w:cs="Calibri"/>
          <w:sz w:val="24"/>
          <w:szCs w:val="20"/>
          <w:lang w:val="en-GB"/>
        </w:rPr>
        <w:t xml:space="preserve">her offending </w:t>
      </w:r>
      <w:r w:rsidR="006E3A95">
        <w:rPr>
          <w:rFonts w:ascii="Calibri" w:eastAsia="Times New Roman" w:hAnsi="Calibri" w:cs="Calibri"/>
          <w:sz w:val="24"/>
          <w:szCs w:val="20"/>
          <w:lang w:val="en-GB"/>
        </w:rPr>
        <w:t>create</w:t>
      </w:r>
      <w:r w:rsidR="00F1786D">
        <w:rPr>
          <w:rFonts w:ascii="Calibri" w:eastAsia="Times New Roman" w:hAnsi="Calibri" w:cs="Calibri"/>
          <w:sz w:val="24"/>
          <w:szCs w:val="20"/>
          <w:lang w:val="en-GB"/>
        </w:rPr>
        <w:t xml:space="preserve">d </w:t>
      </w:r>
      <w:r w:rsidR="006E3A95">
        <w:rPr>
          <w:rFonts w:ascii="Calibri" w:eastAsia="Times New Roman" w:hAnsi="Calibri" w:cs="Calibri"/>
          <w:sz w:val="24"/>
          <w:szCs w:val="20"/>
          <w:lang w:val="en-GB"/>
        </w:rPr>
        <w:t>such as her own family.</w:t>
      </w:r>
    </w:p>
    <w:p w14:paraId="6582A66D" w14:textId="77777777" w:rsidR="00112B1A" w:rsidRDefault="00112B1A" w:rsidP="006E5D96">
      <w:pPr>
        <w:tabs>
          <w:tab w:val="left" w:pos="709"/>
        </w:tabs>
        <w:spacing w:after="0" w:line="360" w:lineRule="auto"/>
        <w:jc w:val="both"/>
        <w:rPr>
          <w:rFonts w:ascii="Calibri" w:eastAsia="Times New Roman" w:hAnsi="Calibri" w:cs="Calibri"/>
          <w:b/>
          <w:bCs/>
          <w:sz w:val="24"/>
          <w:szCs w:val="20"/>
          <w:lang w:val="en-GB"/>
        </w:rPr>
      </w:pPr>
    </w:p>
    <w:p w14:paraId="4880093F" w14:textId="3E80928B" w:rsidR="00285939" w:rsidRPr="00285939" w:rsidRDefault="00285939" w:rsidP="00285939">
      <w:pPr>
        <w:tabs>
          <w:tab w:val="left" w:pos="709"/>
        </w:tabs>
        <w:spacing w:after="0" w:line="360" w:lineRule="auto"/>
        <w:ind w:left="567" w:hanging="567"/>
        <w:jc w:val="both"/>
        <w:rPr>
          <w:rFonts w:ascii="Calibri" w:eastAsia="Times New Roman" w:hAnsi="Calibri" w:cs="Calibri"/>
          <w:b/>
          <w:bCs/>
          <w:sz w:val="24"/>
          <w:szCs w:val="20"/>
          <w:lang w:val="en-GB"/>
        </w:rPr>
      </w:pPr>
      <w:r w:rsidRPr="00285939">
        <w:rPr>
          <w:rFonts w:ascii="Calibri" w:eastAsia="Times New Roman" w:hAnsi="Calibri" w:cs="Calibri"/>
          <w:b/>
          <w:bCs/>
          <w:sz w:val="24"/>
          <w:szCs w:val="20"/>
          <w:lang w:val="en-GB"/>
        </w:rPr>
        <w:t>The Charge -discussion</w:t>
      </w:r>
    </w:p>
    <w:p w14:paraId="72EF87DB" w14:textId="77777777" w:rsidR="00285939" w:rsidRPr="00285939" w:rsidRDefault="00285939" w:rsidP="00285939">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sidRPr="00285939">
        <w:rPr>
          <w:rFonts w:ascii="Calibri" w:eastAsia="Times New Roman" w:hAnsi="Calibri" w:cs="Calibri"/>
          <w:sz w:val="24"/>
          <w:szCs w:val="20"/>
          <w:lang w:val="en-GB"/>
        </w:rPr>
        <w:t>It was submitted for the PCC that:</w:t>
      </w:r>
    </w:p>
    <w:p w14:paraId="6A3BD1D2" w14:textId="31D39E2E" w:rsidR="00285939" w:rsidRPr="00285939" w:rsidRDefault="00285939" w:rsidP="007D0BAB">
      <w:pPr>
        <w:numPr>
          <w:ilvl w:val="1"/>
          <w:numId w:val="1"/>
        </w:numPr>
        <w:tabs>
          <w:tab w:val="left" w:pos="709"/>
        </w:tabs>
        <w:spacing w:after="0" w:line="360" w:lineRule="auto"/>
        <w:ind w:left="1701" w:hanging="567"/>
        <w:contextualSpacing/>
        <w:jc w:val="both"/>
        <w:rPr>
          <w:rFonts w:ascii="Calibri" w:eastAsia="Times New Roman" w:hAnsi="Calibri" w:cs="Calibri"/>
          <w:sz w:val="24"/>
          <w:szCs w:val="20"/>
          <w:lang w:val="en-GB"/>
        </w:rPr>
      </w:pPr>
      <w:r w:rsidRPr="00285939">
        <w:rPr>
          <w:rFonts w:ascii="Calibri" w:eastAsia="Times New Roman" w:hAnsi="Calibri" w:cs="Calibri"/>
          <w:sz w:val="24"/>
          <w:szCs w:val="20"/>
          <w:lang w:val="en-GB"/>
        </w:rPr>
        <w:lastRenderedPageBreak/>
        <w:t xml:space="preserve">The </w:t>
      </w:r>
      <w:r w:rsidR="0022267E">
        <w:rPr>
          <w:rFonts w:ascii="Calibri" w:eastAsia="Times New Roman" w:hAnsi="Calibri" w:cs="Calibri"/>
          <w:sz w:val="24"/>
          <w:szCs w:val="20"/>
          <w:lang w:val="en-GB"/>
        </w:rPr>
        <w:t>s</w:t>
      </w:r>
      <w:r w:rsidR="000E1D63">
        <w:rPr>
          <w:rFonts w:ascii="Calibri" w:eastAsia="Times New Roman" w:hAnsi="Calibri" w:cs="Calibri"/>
          <w:sz w:val="24"/>
          <w:szCs w:val="20"/>
          <w:lang w:val="en-GB"/>
        </w:rPr>
        <w:t>ix</w:t>
      </w:r>
      <w:r w:rsidRPr="00285939">
        <w:rPr>
          <w:rFonts w:ascii="Calibri" w:eastAsia="Times New Roman" w:hAnsi="Calibri" w:cs="Calibri"/>
          <w:sz w:val="24"/>
          <w:szCs w:val="20"/>
          <w:lang w:val="en-GB"/>
        </w:rPr>
        <w:t xml:space="preserve"> convictions</w:t>
      </w:r>
      <w:r w:rsidR="006117BF">
        <w:rPr>
          <w:rFonts w:ascii="Calibri" w:eastAsia="Times New Roman" w:hAnsi="Calibri" w:cs="Calibri"/>
          <w:sz w:val="24"/>
          <w:szCs w:val="20"/>
          <w:lang w:val="en-GB"/>
        </w:rPr>
        <w:t xml:space="preserve"> were committed in circumstances that</w:t>
      </w:r>
      <w:r w:rsidRPr="00285939">
        <w:rPr>
          <w:rFonts w:ascii="Calibri" w:eastAsia="Times New Roman" w:hAnsi="Calibri" w:cs="Calibri"/>
          <w:sz w:val="24"/>
          <w:szCs w:val="20"/>
          <w:lang w:val="en-GB"/>
        </w:rPr>
        <w:t xml:space="preserve"> reflect adversely on </w:t>
      </w:r>
      <w:r w:rsidR="006117BF">
        <w:rPr>
          <w:rFonts w:ascii="Calibri" w:eastAsia="Times New Roman" w:hAnsi="Calibri" w:cs="Calibri"/>
          <w:sz w:val="24"/>
          <w:szCs w:val="20"/>
          <w:lang w:val="en-GB"/>
        </w:rPr>
        <w:t>the practitioner’s</w:t>
      </w:r>
      <w:r w:rsidRPr="00285939">
        <w:rPr>
          <w:rFonts w:ascii="Calibri" w:eastAsia="Times New Roman" w:hAnsi="Calibri" w:cs="Calibri"/>
          <w:sz w:val="24"/>
          <w:szCs w:val="20"/>
          <w:lang w:val="en-GB"/>
        </w:rPr>
        <w:t xml:space="preserve"> fitness to practise as a social worker and so constitute a disciplinary offence under section 82(1)(c) of the SWR Act, they being convictions to which that subsection refers (offences which are punishable by imprisonment for a term of three months or more). The offences in this case </w:t>
      </w:r>
      <w:r w:rsidR="006F3685">
        <w:rPr>
          <w:rFonts w:ascii="Calibri" w:eastAsia="Times New Roman" w:hAnsi="Calibri" w:cs="Calibri"/>
          <w:sz w:val="24"/>
          <w:szCs w:val="20"/>
          <w:lang w:val="en-GB"/>
        </w:rPr>
        <w:t xml:space="preserve">were each punishable by terms of imprisonment </w:t>
      </w:r>
      <w:r w:rsidR="00D23A92">
        <w:rPr>
          <w:rFonts w:ascii="Calibri" w:eastAsia="Times New Roman" w:hAnsi="Calibri" w:cs="Calibri"/>
          <w:sz w:val="24"/>
          <w:szCs w:val="20"/>
          <w:lang w:val="en-GB"/>
        </w:rPr>
        <w:t>of</w:t>
      </w:r>
      <w:r w:rsidR="006F3685">
        <w:rPr>
          <w:rFonts w:ascii="Calibri" w:eastAsia="Times New Roman" w:hAnsi="Calibri" w:cs="Calibri"/>
          <w:sz w:val="24"/>
          <w:szCs w:val="20"/>
          <w:lang w:val="en-GB"/>
        </w:rPr>
        <w:t xml:space="preserve"> three months or longer, in some cases up to a maximum of </w:t>
      </w:r>
      <w:r w:rsidR="00871FB4">
        <w:rPr>
          <w:rFonts w:ascii="Calibri" w:eastAsia="Times New Roman" w:hAnsi="Calibri" w:cs="Calibri"/>
          <w:sz w:val="24"/>
          <w:szCs w:val="20"/>
          <w:lang w:val="en-GB"/>
        </w:rPr>
        <w:t>eight</w:t>
      </w:r>
      <w:r w:rsidR="006F3685">
        <w:rPr>
          <w:rFonts w:ascii="Calibri" w:eastAsia="Times New Roman" w:hAnsi="Calibri" w:cs="Calibri"/>
          <w:sz w:val="24"/>
          <w:szCs w:val="20"/>
          <w:lang w:val="en-GB"/>
        </w:rPr>
        <w:t xml:space="preserve"> years’ imprisonment.</w:t>
      </w:r>
    </w:p>
    <w:p w14:paraId="112854D1" w14:textId="2A90195B" w:rsidR="00285939" w:rsidRPr="00B56B10" w:rsidRDefault="00814968" w:rsidP="007D0BAB">
      <w:pPr>
        <w:numPr>
          <w:ilvl w:val="1"/>
          <w:numId w:val="1"/>
        </w:numPr>
        <w:tabs>
          <w:tab w:val="left" w:pos="709"/>
        </w:tabs>
        <w:spacing w:after="0" w:line="360" w:lineRule="auto"/>
        <w:ind w:left="1701" w:hanging="567"/>
        <w:contextualSpacing/>
        <w:jc w:val="both"/>
        <w:rPr>
          <w:rFonts w:ascii="Calibri" w:eastAsia="Times New Roman" w:hAnsi="Calibri" w:cs="Calibri"/>
          <w:sz w:val="24"/>
          <w:szCs w:val="20"/>
          <w:lang w:val="en-GB"/>
        </w:rPr>
      </w:pPr>
      <w:r>
        <w:rPr>
          <w:rFonts w:ascii="Calibri" w:eastAsia="Times New Roman" w:hAnsi="Calibri" w:cs="Calibri"/>
          <w:sz w:val="24"/>
          <w:szCs w:val="20"/>
          <w:lang w:val="en-GB"/>
        </w:rPr>
        <w:t>There</w:t>
      </w:r>
      <w:r w:rsidR="00F96E41">
        <w:rPr>
          <w:rFonts w:ascii="Calibri" w:eastAsia="Times New Roman" w:hAnsi="Calibri" w:cs="Calibri"/>
          <w:sz w:val="24"/>
          <w:szCs w:val="20"/>
          <w:lang w:val="en-GB"/>
        </w:rPr>
        <w:t xml:space="preserve"> are no directly comparable cases</w:t>
      </w:r>
      <w:r w:rsidR="002C0AFE">
        <w:rPr>
          <w:rFonts w:ascii="Calibri" w:eastAsia="Times New Roman" w:hAnsi="Calibri" w:cs="Calibri"/>
          <w:sz w:val="24"/>
          <w:szCs w:val="20"/>
          <w:lang w:val="en-GB"/>
        </w:rPr>
        <w:t xml:space="preserve"> relating to charges for similar convictions brought under section 82(1)(c)</w:t>
      </w:r>
      <w:r w:rsidR="000C457C">
        <w:rPr>
          <w:rFonts w:ascii="Calibri" w:eastAsia="Times New Roman" w:hAnsi="Calibri" w:cs="Calibri"/>
          <w:sz w:val="24"/>
          <w:szCs w:val="20"/>
          <w:lang w:val="en-GB"/>
        </w:rPr>
        <w:t>.</w:t>
      </w:r>
      <w:r w:rsidR="000C457C">
        <w:rPr>
          <w:rStyle w:val="FootnoteReference"/>
          <w:rFonts w:ascii="Calibri" w:eastAsia="Times New Roman" w:hAnsi="Calibri" w:cs="Calibri"/>
          <w:sz w:val="24"/>
          <w:szCs w:val="20"/>
          <w:lang w:val="en-GB"/>
        </w:rPr>
        <w:footnoteReference w:id="14"/>
      </w:r>
      <w:r>
        <w:rPr>
          <w:rFonts w:ascii="Calibri" w:eastAsia="Times New Roman" w:hAnsi="Calibri" w:cs="Calibri"/>
          <w:sz w:val="24"/>
          <w:szCs w:val="20"/>
          <w:lang w:val="en-GB"/>
        </w:rPr>
        <w:t xml:space="preserve"> </w:t>
      </w:r>
      <w:r w:rsidR="00B56B10">
        <w:rPr>
          <w:rFonts w:ascii="Calibri" w:eastAsia="Times New Roman" w:hAnsi="Calibri" w:cs="Calibri"/>
          <w:sz w:val="24"/>
          <w:szCs w:val="20"/>
          <w:lang w:val="en-GB"/>
        </w:rPr>
        <w:t xml:space="preserve">Guidance may be sought from </w:t>
      </w:r>
      <w:r w:rsidRPr="00B56B10">
        <w:rPr>
          <w:rFonts w:ascii="Calibri" w:eastAsia="Times New Roman" w:hAnsi="Calibri" w:cs="Calibri"/>
          <w:sz w:val="24"/>
          <w:szCs w:val="20"/>
          <w:lang w:val="en-GB"/>
        </w:rPr>
        <w:t xml:space="preserve">two </w:t>
      </w:r>
      <w:r w:rsidR="005D04E2" w:rsidRPr="00B56B10">
        <w:rPr>
          <w:rFonts w:ascii="Calibri" w:eastAsia="Times New Roman" w:hAnsi="Calibri" w:cs="Calibri"/>
          <w:sz w:val="24"/>
          <w:szCs w:val="20"/>
          <w:lang w:val="en-GB"/>
        </w:rPr>
        <w:t xml:space="preserve">professional misconduct </w:t>
      </w:r>
      <w:r w:rsidRPr="00B56B10">
        <w:rPr>
          <w:rFonts w:ascii="Calibri" w:eastAsia="Times New Roman" w:hAnsi="Calibri" w:cs="Calibri"/>
          <w:sz w:val="24"/>
          <w:szCs w:val="20"/>
          <w:lang w:val="en-GB"/>
        </w:rPr>
        <w:t>cases</w:t>
      </w:r>
      <w:r w:rsidR="005D04E2" w:rsidRPr="00B56B10">
        <w:rPr>
          <w:rFonts w:ascii="Calibri" w:eastAsia="Times New Roman" w:hAnsi="Calibri" w:cs="Calibri"/>
          <w:sz w:val="24"/>
          <w:szCs w:val="20"/>
          <w:lang w:val="en-GB"/>
        </w:rPr>
        <w:t xml:space="preserve"> brought under section 82(1)(</w:t>
      </w:r>
      <w:r w:rsidR="004B1B29" w:rsidRPr="00B56B10">
        <w:rPr>
          <w:rFonts w:ascii="Calibri" w:eastAsia="Times New Roman" w:hAnsi="Calibri" w:cs="Calibri"/>
          <w:sz w:val="24"/>
          <w:szCs w:val="20"/>
          <w:lang w:val="en-GB"/>
        </w:rPr>
        <w:t>a</w:t>
      </w:r>
      <w:r w:rsidR="005D04E2" w:rsidRPr="00B56B10">
        <w:rPr>
          <w:rFonts w:ascii="Calibri" w:eastAsia="Times New Roman" w:hAnsi="Calibri" w:cs="Calibri"/>
          <w:sz w:val="24"/>
          <w:szCs w:val="20"/>
          <w:lang w:val="en-GB"/>
        </w:rPr>
        <w:t>)</w:t>
      </w:r>
      <w:r w:rsidRPr="00B56B10">
        <w:rPr>
          <w:rFonts w:ascii="Calibri" w:eastAsia="Times New Roman" w:hAnsi="Calibri" w:cs="Calibri"/>
          <w:sz w:val="24"/>
          <w:szCs w:val="20"/>
          <w:lang w:val="en-GB"/>
        </w:rPr>
        <w:t xml:space="preserve"> where the Tribunal has previously considered conduct of the kind reviewed here.</w:t>
      </w:r>
      <w:r>
        <w:rPr>
          <w:rStyle w:val="FootnoteReference"/>
          <w:rFonts w:ascii="Calibri" w:eastAsia="Times New Roman" w:hAnsi="Calibri" w:cs="Calibri"/>
          <w:sz w:val="24"/>
          <w:szCs w:val="20"/>
          <w:lang w:val="en-GB"/>
        </w:rPr>
        <w:footnoteReference w:id="15"/>
      </w:r>
    </w:p>
    <w:p w14:paraId="3FE8DC3B" w14:textId="77777777" w:rsidR="000E7B62" w:rsidRPr="000E7B62" w:rsidRDefault="00E32172" w:rsidP="007D0BAB">
      <w:pPr>
        <w:numPr>
          <w:ilvl w:val="1"/>
          <w:numId w:val="1"/>
        </w:numPr>
        <w:tabs>
          <w:tab w:val="left" w:pos="709"/>
        </w:tabs>
        <w:spacing w:after="0" w:line="360" w:lineRule="auto"/>
        <w:ind w:left="1701" w:hanging="567"/>
        <w:contextualSpacing/>
        <w:jc w:val="both"/>
        <w:rPr>
          <w:rFonts w:ascii="Calibri" w:eastAsia="Times New Roman" w:hAnsi="Calibri" w:cs="Calibri"/>
          <w:i/>
          <w:iCs/>
          <w:sz w:val="24"/>
          <w:szCs w:val="20"/>
          <w:lang w:val="en-GB"/>
        </w:rPr>
      </w:pPr>
      <w:r w:rsidRPr="00285939">
        <w:rPr>
          <w:rFonts w:ascii="Calibri" w:eastAsia="Times New Roman" w:hAnsi="Calibri" w:cs="Calibri"/>
          <w:sz w:val="24"/>
          <w:szCs w:val="20"/>
          <w:lang w:val="en-GB"/>
        </w:rPr>
        <w:t>“Fitness to practise” is not defined in the SWR Act however section 47 (2)(c) provides some guidance about circumstances where the Board might find someone is not fit to practise. Fitness is inherently linked to the functions of the Act being protection of the public and enhancement of the profession.</w:t>
      </w:r>
      <w:r w:rsidR="00B57743">
        <w:rPr>
          <w:rFonts w:ascii="Calibri" w:eastAsia="Times New Roman" w:hAnsi="Calibri" w:cs="Calibri"/>
          <w:sz w:val="24"/>
          <w:szCs w:val="20"/>
          <w:lang w:val="en-GB"/>
        </w:rPr>
        <w:t xml:space="preserve"> </w:t>
      </w:r>
    </w:p>
    <w:p w14:paraId="62C1674F" w14:textId="77777777" w:rsidR="000E7B62" w:rsidRDefault="000E7B62" w:rsidP="007D0BAB">
      <w:pPr>
        <w:numPr>
          <w:ilvl w:val="1"/>
          <w:numId w:val="1"/>
        </w:numPr>
        <w:tabs>
          <w:tab w:val="left" w:pos="709"/>
        </w:tabs>
        <w:spacing w:after="0" w:line="360" w:lineRule="auto"/>
        <w:ind w:left="1701" w:hanging="567"/>
        <w:contextualSpacing/>
        <w:jc w:val="both"/>
        <w:rPr>
          <w:rFonts w:ascii="Calibri" w:eastAsia="Times New Roman" w:hAnsi="Calibri" w:cs="Calibri"/>
          <w:i/>
          <w:iCs/>
          <w:sz w:val="24"/>
          <w:szCs w:val="20"/>
          <w:lang w:val="en-GB"/>
        </w:rPr>
      </w:pPr>
      <w:r>
        <w:rPr>
          <w:rFonts w:ascii="Calibri" w:eastAsia="Times New Roman" w:hAnsi="Calibri" w:cs="Calibri"/>
          <w:sz w:val="24"/>
          <w:szCs w:val="20"/>
          <w:lang w:val="en-GB"/>
        </w:rPr>
        <w:t>F</w:t>
      </w:r>
      <w:r w:rsidR="00B57743">
        <w:rPr>
          <w:rFonts w:ascii="Calibri" w:eastAsia="Times New Roman" w:hAnsi="Calibri" w:cs="Calibri"/>
          <w:sz w:val="24"/>
          <w:szCs w:val="20"/>
          <w:lang w:val="en-GB"/>
        </w:rPr>
        <w:t>or the profession to be enhanced social workers must embody qualities of integrity, sound judgement</w:t>
      </w:r>
      <w:r w:rsidR="00CA58FC">
        <w:rPr>
          <w:rFonts w:ascii="Calibri" w:eastAsia="Times New Roman" w:hAnsi="Calibri" w:cs="Calibri"/>
          <w:sz w:val="24"/>
          <w:szCs w:val="20"/>
          <w:lang w:val="en-GB"/>
        </w:rPr>
        <w:t xml:space="preserve"> and respect for their clients, qualities and values outlined in the </w:t>
      </w:r>
      <w:r>
        <w:rPr>
          <w:rFonts w:ascii="Calibri" w:eastAsia="Times New Roman" w:hAnsi="Calibri" w:cs="Calibri"/>
          <w:sz w:val="24"/>
          <w:szCs w:val="20"/>
          <w:lang w:val="en-GB"/>
        </w:rPr>
        <w:t xml:space="preserve">Board’s </w:t>
      </w:r>
      <w:r w:rsidR="00CA58FC">
        <w:rPr>
          <w:rFonts w:ascii="Calibri" w:eastAsia="Times New Roman" w:hAnsi="Calibri" w:cs="Calibri"/>
          <w:sz w:val="24"/>
          <w:szCs w:val="20"/>
          <w:lang w:val="en-GB"/>
        </w:rPr>
        <w:t>Code of Conduct.</w:t>
      </w:r>
      <w:r w:rsidR="004C0C0D">
        <w:rPr>
          <w:rFonts w:ascii="Calibri" w:eastAsia="Times New Roman" w:hAnsi="Calibri" w:cs="Calibri"/>
          <w:sz w:val="24"/>
          <w:szCs w:val="20"/>
          <w:lang w:val="en-GB"/>
        </w:rPr>
        <w:t xml:space="preserve"> As the Tribunal held in </w:t>
      </w:r>
      <w:r w:rsidR="004C0C0D" w:rsidRPr="004C0C0D">
        <w:rPr>
          <w:rFonts w:ascii="Calibri" w:eastAsia="Times New Roman" w:hAnsi="Calibri" w:cs="Calibri"/>
          <w:i/>
          <w:iCs/>
          <w:sz w:val="24"/>
          <w:szCs w:val="20"/>
          <w:lang w:val="en-GB"/>
        </w:rPr>
        <w:t xml:space="preserve">CAC v </w:t>
      </w:r>
      <w:proofErr w:type="spellStart"/>
      <w:r w:rsidR="004C0C0D" w:rsidRPr="004C0C0D">
        <w:rPr>
          <w:rFonts w:ascii="Calibri" w:eastAsia="Times New Roman" w:hAnsi="Calibri" w:cs="Calibri"/>
          <w:i/>
          <w:iCs/>
          <w:sz w:val="24"/>
          <w:szCs w:val="20"/>
          <w:lang w:val="en-GB"/>
        </w:rPr>
        <w:t>Curson</w:t>
      </w:r>
      <w:proofErr w:type="spellEnd"/>
      <w:r w:rsidR="00CA58FC" w:rsidRPr="004C0C0D">
        <w:rPr>
          <w:rFonts w:ascii="Calibri" w:eastAsia="Times New Roman" w:hAnsi="Calibri" w:cs="Calibri"/>
          <w:i/>
          <w:iCs/>
          <w:sz w:val="24"/>
          <w:szCs w:val="20"/>
          <w:lang w:val="en-GB"/>
        </w:rPr>
        <w:t xml:space="preserve"> </w:t>
      </w:r>
      <w:r w:rsidR="004C0C0D">
        <w:rPr>
          <w:rFonts w:ascii="Calibri" w:eastAsia="Times New Roman" w:hAnsi="Calibri" w:cs="Calibri"/>
          <w:sz w:val="24"/>
          <w:szCs w:val="20"/>
          <w:lang w:val="en-GB"/>
        </w:rPr>
        <w:t>at [45] the Code is a helpful indicator of proper practice and ethical standards required of a social worker.</w:t>
      </w:r>
      <w:r w:rsidR="0055722B">
        <w:rPr>
          <w:rFonts w:ascii="Calibri" w:eastAsia="Times New Roman" w:hAnsi="Calibri" w:cs="Calibri"/>
          <w:i/>
          <w:iCs/>
          <w:sz w:val="24"/>
          <w:szCs w:val="20"/>
          <w:lang w:val="en-GB"/>
        </w:rPr>
        <w:t xml:space="preserve"> </w:t>
      </w:r>
    </w:p>
    <w:p w14:paraId="534A8FB2" w14:textId="60A2DB3C" w:rsidR="00285939" w:rsidRPr="0055722B" w:rsidRDefault="00285939" w:rsidP="007D0BAB">
      <w:pPr>
        <w:numPr>
          <w:ilvl w:val="1"/>
          <w:numId w:val="1"/>
        </w:numPr>
        <w:tabs>
          <w:tab w:val="left" w:pos="709"/>
        </w:tabs>
        <w:spacing w:after="0" w:line="360" w:lineRule="auto"/>
        <w:ind w:left="1701" w:hanging="567"/>
        <w:contextualSpacing/>
        <w:jc w:val="both"/>
        <w:rPr>
          <w:rFonts w:ascii="Calibri" w:eastAsia="Times New Roman" w:hAnsi="Calibri" w:cs="Calibri"/>
          <w:i/>
          <w:iCs/>
          <w:sz w:val="24"/>
          <w:szCs w:val="20"/>
          <w:lang w:val="en-GB"/>
        </w:rPr>
      </w:pPr>
      <w:r w:rsidRPr="0055722B">
        <w:rPr>
          <w:rFonts w:ascii="Calibri" w:eastAsia="Times New Roman" w:hAnsi="Calibri" w:cs="Calibri"/>
          <w:sz w:val="24"/>
          <w:szCs w:val="20"/>
          <w:lang w:val="en-GB"/>
        </w:rPr>
        <w:t>A</w:t>
      </w:r>
      <w:r w:rsidR="0055722B" w:rsidRPr="0055722B">
        <w:rPr>
          <w:rFonts w:ascii="Calibri" w:eastAsia="Times New Roman" w:hAnsi="Calibri" w:cs="Calibri"/>
          <w:sz w:val="24"/>
          <w:szCs w:val="20"/>
          <w:lang w:val="en-GB"/>
        </w:rPr>
        <w:t>s such an</w:t>
      </w:r>
      <w:r w:rsidRPr="0055722B">
        <w:rPr>
          <w:rFonts w:ascii="Calibri" w:eastAsia="Times New Roman" w:hAnsi="Calibri" w:cs="Calibri"/>
          <w:sz w:val="24"/>
          <w:szCs w:val="20"/>
          <w:lang w:val="en-GB"/>
        </w:rPr>
        <w:t xml:space="preserve"> inquiry into fitness to practise is not restricted to consideration of a practitioner’s physical or mental fitness, but can relate to whether the </w:t>
      </w:r>
      <w:r w:rsidRPr="0055722B">
        <w:rPr>
          <w:rFonts w:ascii="Calibri" w:eastAsia="Times New Roman" w:hAnsi="Calibri" w:cs="Calibri"/>
          <w:sz w:val="24"/>
          <w:szCs w:val="20"/>
          <w:lang w:val="en-GB"/>
        </w:rPr>
        <w:lastRenderedPageBreak/>
        <w:t>conduct or conviction impacts on wider standards of professional conduct and public and professional confidence in the particular area of practice.</w:t>
      </w:r>
    </w:p>
    <w:p w14:paraId="6E777B39" w14:textId="175B82F0" w:rsidR="00285939" w:rsidRDefault="00285939" w:rsidP="007D0BAB">
      <w:pPr>
        <w:numPr>
          <w:ilvl w:val="1"/>
          <w:numId w:val="1"/>
        </w:numPr>
        <w:tabs>
          <w:tab w:val="left" w:pos="709"/>
        </w:tabs>
        <w:spacing w:after="0" w:line="360" w:lineRule="auto"/>
        <w:ind w:left="1701" w:hanging="567"/>
        <w:contextualSpacing/>
        <w:jc w:val="both"/>
        <w:rPr>
          <w:rFonts w:ascii="Calibri" w:eastAsia="Times New Roman" w:hAnsi="Calibri" w:cs="Calibri"/>
          <w:sz w:val="24"/>
          <w:szCs w:val="20"/>
          <w:lang w:val="en-GB"/>
        </w:rPr>
      </w:pPr>
      <w:r w:rsidRPr="00285939">
        <w:rPr>
          <w:rFonts w:ascii="Calibri" w:eastAsia="Times New Roman" w:hAnsi="Calibri" w:cs="Calibri"/>
          <w:sz w:val="24"/>
          <w:szCs w:val="20"/>
          <w:lang w:val="en-GB"/>
        </w:rPr>
        <w:t xml:space="preserve">With reference to the Tribunal’s dicta in </w:t>
      </w:r>
      <w:r w:rsidRPr="00285939">
        <w:rPr>
          <w:rFonts w:ascii="Calibri" w:eastAsia="Times New Roman" w:hAnsi="Calibri" w:cs="Calibri"/>
          <w:i/>
          <w:iCs/>
          <w:sz w:val="24"/>
          <w:szCs w:val="20"/>
          <w:lang w:val="en-GB"/>
        </w:rPr>
        <w:t>CAC v RSW Going</w:t>
      </w:r>
      <w:r w:rsidR="006E5C1B">
        <w:rPr>
          <w:rFonts w:ascii="Calibri" w:eastAsia="Times New Roman" w:hAnsi="Calibri" w:cs="Calibri"/>
          <w:i/>
          <w:iCs/>
          <w:sz w:val="24"/>
          <w:szCs w:val="20"/>
          <w:lang w:val="en-GB"/>
        </w:rPr>
        <w:t xml:space="preserve">, </w:t>
      </w:r>
      <w:r w:rsidR="006E5C1B">
        <w:rPr>
          <w:rFonts w:ascii="Calibri" w:eastAsia="Times New Roman" w:hAnsi="Calibri" w:cs="Calibri"/>
          <w:sz w:val="24"/>
          <w:szCs w:val="20"/>
          <w:lang w:val="en-GB"/>
        </w:rPr>
        <w:t xml:space="preserve">adopting the approach of the Medical Practitioner’s Disciplinary Tribunal in </w:t>
      </w:r>
      <w:r w:rsidR="00920204">
        <w:rPr>
          <w:rFonts w:ascii="Calibri" w:eastAsia="Times New Roman" w:hAnsi="Calibri" w:cs="Calibri"/>
          <w:i/>
          <w:iCs/>
          <w:sz w:val="24"/>
          <w:szCs w:val="20"/>
          <w:lang w:val="en-GB"/>
        </w:rPr>
        <w:t xml:space="preserve">Dr </w:t>
      </w:r>
      <w:proofErr w:type="spellStart"/>
      <w:r w:rsidR="00920204">
        <w:rPr>
          <w:rFonts w:ascii="Calibri" w:eastAsia="Times New Roman" w:hAnsi="Calibri" w:cs="Calibri"/>
          <w:i/>
          <w:iCs/>
          <w:sz w:val="24"/>
          <w:szCs w:val="20"/>
          <w:lang w:val="en-GB"/>
        </w:rPr>
        <w:t>Zauka</w:t>
      </w:r>
      <w:proofErr w:type="spellEnd"/>
      <w:r w:rsidR="00920204">
        <w:rPr>
          <w:rFonts w:ascii="Calibri" w:eastAsia="Times New Roman" w:hAnsi="Calibri" w:cs="Calibri"/>
          <w:i/>
          <w:iCs/>
          <w:sz w:val="24"/>
          <w:szCs w:val="20"/>
          <w:lang w:val="en-GB"/>
        </w:rPr>
        <w:t xml:space="preserve"> </w:t>
      </w:r>
      <w:r w:rsidR="00920204">
        <w:rPr>
          <w:rStyle w:val="FootnoteReference"/>
          <w:rFonts w:ascii="Calibri" w:eastAsia="Times New Roman" w:hAnsi="Calibri" w:cs="Calibri"/>
          <w:i/>
          <w:iCs/>
          <w:sz w:val="24"/>
          <w:szCs w:val="20"/>
          <w:lang w:val="en-GB"/>
        </w:rPr>
        <w:footnoteReference w:id="16"/>
      </w:r>
      <w:r w:rsidRPr="00285939">
        <w:rPr>
          <w:rFonts w:ascii="Calibri" w:eastAsia="Times New Roman" w:hAnsi="Calibri" w:cs="Calibri"/>
          <w:i/>
          <w:iCs/>
          <w:sz w:val="24"/>
          <w:szCs w:val="20"/>
          <w:lang w:val="en-GB"/>
        </w:rPr>
        <w:t xml:space="preserve"> </w:t>
      </w:r>
      <w:r w:rsidRPr="00285939">
        <w:rPr>
          <w:rFonts w:ascii="Calibri" w:eastAsia="Times New Roman" w:hAnsi="Calibri" w:cs="Calibri"/>
          <w:sz w:val="24"/>
          <w:szCs w:val="20"/>
          <w:lang w:val="en-GB"/>
        </w:rPr>
        <w:t>it is not necessary that the proven conduct should conclusively demonstrate that the practitioner is unfit to practise. The conduct will need to be of a kind that is inconsistent with what might be expected from a practitioner who acts in compliance with the standards normally observed by those who are fit to practise social work. Not every divergence from recognised standards will reflect adversely on a practitioner’s fitness to practise. It is a matter of degree.</w:t>
      </w:r>
      <w:r w:rsidR="00155905">
        <w:rPr>
          <w:rFonts w:ascii="Calibri" w:eastAsia="Times New Roman" w:hAnsi="Calibri" w:cs="Calibri"/>
          <w:sz w:val="24"/>
          <w:szCs w:val="20"/>
          <w:lang w:val="en-GB"/>
        </w:rPr>
        <w:t xml:space="preserve"> [The Tribunal notes that in </w:t>
      </w:r>
      <w:r w:rsidR="00155905" w:rsidRPr="00155905">
        <w:rPr>
          <w:rFonts w:ascii="Calibri" w:eastAsia="Times New Roman" w:hAnsi="Calibri" w:cs="Calibri"/>
          <w:i/>
          <w:iCs/>
          <w:sz w:val="24"/>
          <w:szCs w:val="20"/>
          <w:lang w:val="en-GB"/>
        </w:rPr>
        <w:t xml:space="preserve">Dr </w:t>
      </w:r>
      <w:proofErr w:type="spellStart"/>
      <w:r w:rsidR="00155905" w:rsidRPr="00155905">
        <w:rPr>
          <w:rFonts w:ascii="Calibri" w:eastAsia="Times New Roman" w:hAnsi="Calibri" w:cs="Calibri"/>
          <w:i/>
          <w:iCs/>
          <w:sz w:val="24"/>
          <w:szCs w:val="20"/>
          <w:lang w:val="en-GB"/>
        </w:rPr>
        <w:t>Z</w:t>
      </w:r>
      <w:r w:rsidR="00155905">
        <w:rPr>
          <w:rFonts w:ascii="Calibri" w:eastAsia="Times New Roman" w:hAnsi="Calibri" w:cs="Calibri"/>
          <w:i/>
          <w:iCs/>
          <w:sz w:val="24"/>
          <w:szCs w:val="20"/>
          <w:lang w:val="en-GB"/>
        </w:rPr>
        <w:t>auka</w:t>
      </w:r>
      <w:proofErr w:type="spellEnd"/>
      <w:r w:rsidR="00155905">
        <w:rPr>
          <w:rFonts w:ascii="Calibri" w:eastAsia="Times New Roman" w:hAnsi="Calibri" w:cs="Calibri"/>
          <w:i/>
          <w:iCs/>
          <w:sz w:val="24"/>
          <w:szCs w:val="20"/>
          <w:lang w:val="en-GB"/>
        </w:rPr>
        <w:t xml:space="preserve"> </w:t>
      </w:r>
      <w:r w:rsidR="00155905">
        <w:rPr>
          <w:rFonts w:ascii="Calibri" w:eastAsia="Times New Roman" w:hAnsi="Calibri" w:cs="Calibri"/>
          <w:sz w:val="24"/>
          <w:szCs w:val="20"/>
          <w:lang w:val="en-GB"/>
        </w:rPr>
        <w:t xml:space="preserve">the Tribunal </w:t>
      </w:r>
      <w:r w:rsidR="008930AE">
        <w:rPr>
          <w:rFonts w:ascii="Calibri" w:eastAsia="Times New Roman" w:hAnsi="Calibri" w:cs="Calibri"/>
          <w:sz w:val="24"/>
          <w:szCs w:val="20"/>
          <w:lang w:val="en-GB"/>
        </w:rPr>
        <w:t xml:space="preserve">went on to </w:t>
      </w:r>
      <w:r w:rsidR="007C5872">
        <w:rPr>
          <w:rFonts w:ascii="Calibri" w:eastAsia="Times New Roman" w:hAnsi="Calibri" w:cs="Calibri"/>
          <w:sz w:val="24"/>
          <w:szCs w:val="20"/>
          <w:lang w:val="en-GB"/>
        </w:rPr>
        <w:t>state:</w:t>
      </w:r>
    </w:p>
    <w:p w14:paraId="2CBAEFC1" w14:textId="1E08C339" w:rsidR="007C5872" w:rsidRPr="00D258E5" w:rsidRDefault="00D258E5" w:rsidP="007C5872">
      <w:pPr>
        <w:tabs>
          <w:tab w:val="left" w:pos="709"/>
        </w:tabs>
        <w:spacing w:after="0" w:line="360" w:lineRule="auto"/>
        <w:ind w:left="2160"/>
        <w:contextualSpacing/>
        <w:jc w:val="both"/>
        <w:rPr>
          <w:rFonts w:ascii="Calibri" w:eastAsia="Times New Roman" w:hAnsi="Calibri" w:cs="Calibri"/>
          <w:sz w:val="24"/>
          <w:szCs w:val="20"/>
          <w:lang w:val="en-GB"/>
        </w:rPr>
      </w:pPr>
      <w:r w:rsidRPr="00D258E5">
        <w:rPr>
          <w:sz w:val="20"/>
        </w:rPr>
        <w:t>“</w:t>
      </w:r>
      <w:r w:rsidR="007C5872" w:rsidRPr="00D258E5">
        <w:rPr>
          <w:sz w:val="20"/>
        </w:rPr>
        <w:t>. What conduct will satisfy the requirements of the rider cannot be decided solely by analysing the words of this subsection. It is, rather, a matter that calls for the exercise of judgment…”]</w:t>
      </w:r>
    </w:p>
    <w:p w14:paraId="5AE9B3B8" w14:textId="6CC0A2C9" w:rsidR="00285939" w:rsidRPr="00285939" w:rsidRDefault="00285939" w:rsidP="007D0BAB">
      <w:pPr>
        <w:numPr>
          <w:ilvl w:val="1"/>
          <w:numId w:val="1"/>
        </w:numPr>
        <w:tabs>
          <w:tab w:val="left" w:pos="709"/>
        </w:tabs>
        <w:spacing w:after="0" w:line="360" w:lineRule="auto"/>
        <w:ind w:left="1701" w:hanging="567"/>
        <w:contextualSpacing/>
        <w:jc w:val="both"/>
        <w:rPr>
          <w:rFonts w:ascii="Calibri" w:eastAsia="Times New Roman" w:hAnsi="Calibri" w:cs="Calibri"/>
          <w:sz w:val="24"/>
          <w:szCs w:val="20"/>
          <w:lang w:val="en-GB"/>
        </w:rPr>
      </w:pPr>
      <w:r w:rsidRPr="00285939">
        <w:rPr>
          <w:rFonts w:ascii="Calibri" w:eastAsia="Times New Roman" w:hAnsi="Calibri" w:cs="Calibri"/>
          <w:sz w:val="24"/>
          <w:szCs w:val="20"/>
          <w:lang w:val="en-GB"/>
        </w:rPr>
        <w:t>The Board’s Fit and Proper Person Policy also provide</w:t>
      </w:r>
      <w:r w:rsidR="00FB65C9">
        <w:rPr>
          <w:rFonts w:ascii="Calibri" w:eastAsia="Times New Roman" w:hAnsi="Calibri" w:cs="Calibri"/>
          <w:sz w:val="24"/>
          <w:szCs w:val="20"/>
          <w:lang w:val="en-GB"/>
        </w:rPr>
        <w:t>s</w:t>
      </w:r>
      <w:r w:rsidRPr="00285939">
        <w:rPr>
          <w:rFonts w:ascii="Calibri" w:eastAsia="Times New Roman" w:hAnsi="Calibri" w:cs="Calibri"/>
          <w:sz w:val="24"/>
          <w:szCs w:val="20"/>
          <w:lang w:val="en-GB"/>
        </w:rPr>
        <w:t xml:space="preserve"> guidance. </w:t>
      </w:r>
      <w:r w:rsidR="00C557A6">
        <w:rPr>
          <w:rFonts w:ascii="Calibri" w:eastAsia="Times New Roman" w:hAnsi="Calibri" w:cs="Calibri"/>
          <w:sz w:val="24"/>
          <w:szCs w:val="20"/>
          <w:lang w:val="en-GB"/>
        </w:rPr>
        <w:t>This Policy is designed to give guidance about the circumstances where the Board might find someone is not fit to practise.</w:t>
      </w:r>
      <w:r w:rsidR="001508E7">
        <w:rPr>
          <w:rStyle w:val="FootnoteReference"/>
          <w:rFonts w:ascii="Calibri" w:eastAsia="Times New Roman" w:hAnsi="Calibri" w:cs="Calibri"/>
          <w:sz w:val="24"/>
          <w:szCs w:val="20"/>
          <w:lang w:val="en-GB"/>
        </w:rPr>
        <w:footnoteReference w:id="17"/>
      </w:r>
      <w:r w:rsidRPr="00285939">
        <w:rPr>
          <w:rFonts w:ascii="Calibri" w:eastAsia="Times New Roman" w:hAnsi="Calibri" w:cs="Calibri"/>
          <w:sz w:val="24"/>
          <w:szCs w:val="20"/>
          <w:lang w:val="en-GB"/>
        </w:rPr>
        <w:t xml:space="preserve">This Policy notes that fit and proper people are those in whom the public can have trust and confidence, and who can practise social work safely and effectively. </w:t>
      </w:r>
      <w:r w:rsidR="00192532">
        <w:rPr>
          <w:rFonts w:ascii="Calibri" w:eastAsia="Times New Roman" w:hAnsi="Calibri" w:cs="Calibri"/>
          <w:sz w:val="24"/>
          <w:szCs w:val="20"/>
          <w:lang w:val="en-GB"/>
        </w:rPr>
        <w:t>The Tribunal notes that w</w:t>
      </w:r>
      <w:r w:rsidRPr="00285939">
        <w:rPr>
          <w:rFonts w:ascii="Calibri" w:eastAsia="Times New Roman" w:hAnsi="Calibri" w:cs="Calibri"/>
          <w:sz w:val="24"/>
          <w:szCs w:val="20"/>
          <w:lang w:val="en-GB"/>
        </w:rPr>
        <w:t>ith respect to convictions, the Policy provides that offences towards children or other dependents are types of convictions which would likely lead a reasonable person to conclude that a person is not fit to practise social work.</w:t>
      </w:r>
    </w:p>
    <w:p w14:paraId="711E0B43" w14:textId="5638BA17" w:rsidR="00285939" w:rsidRDefault="00285939" w:rsidP="007D0BAB">
      <w:pPr>
        <w:numPr>
          <w:ilvl w:val="1"/>
          <w:numId w:val="1"/>
        </w:numPr>
        <w:tabs>
          <w:tab w:val="left" w:pos="709"/>
        </w:tabs>
        <w:spacing w:after="0" w:line="360" w:lineRule="auto"/>
        <w:ind w:left="1701" w:hanging="567"/>
        <w:contextualSpacing/>
        <w:jc w:val="both"/>
        <w:rPr>
          <w:rFonts w:ascii="Calibri" w:eastAsia="Times New Roman" w:hAnsi="Calibri" w:cs="Calibri"/>
          <w:sz w:val="24"/>
          <w:szCs w:val="20"/>
          <w:lang w:val="en-GB"/>
        </w:rPr>
      </w:pPr>
      <w:r w:rsidRPr="00285939">
        <w:rPr>
          <w:rFonts w:ascii="Calibri" w:eastAsia="Times New Roman" w:hAnsi="Calibri" w:cs="Calibri"/>
          <w:sz w:val="24"/>
          <w:szCs w:val="20"/>
          <w:lang w:val="en-GB"/>
        </w:rPr>
        <w:t xml:space="preserve">The offences were committed in circumstances that reflected adversely on </w:t>
      </w:r>
      <w:r w:rsidR="00B50785">
        <w:rPr>
          <w:rFonts w:ascii="Calibri" w:eastAsia="Times New Roman" w:hAnsi="Calibri" w:cs="Calibri"/>
          <w:sz w:val="24"/>
          <w:szCs w:val="20"/>
          <w:lang w:val="en-GB"/>
        </w:rPr>
        <w:t>the practitioner’s</w:t>
      </w:r>
      <w:r w:rsidRPr="00285939">
        <w:rPr>
          <w:rFonts w:ascii="Calibri" w:eastAsia="Times New Roman" w:hAnsi="Calibri" w:cs="Calibri"/>
          <w:sz w:val="24"/>
          <w:szCs w:val="20"/>
          <w:lang w:val="en-GB"/>
        </w:rPr>
        <w:t xml:space="preserve"> fitness to practise as a social worker. </w:t>
      </w:r>
      <w:r w:rsidR="00EE622B">
        <w:rPr>
          <w:rFonts w:ascii="Calibri" w:eastAsia="Times New Roman" w:hAnsi="Calibri" w:cs="Calibri"/>
          <w:sz w:val="24"/>
          <w:szCs w:val="20"/>
          <w:lang w:val="en-GB"/>
        </w:rPr>
        <w:t>The e</w:t>
      </w:r>
      <w:r w:rsidR="00D974AA">
        <w:rPr>
          <w:rFonts w:ascii="Calibri" w:eastAsia="Times New Roman" w:hAnsi="Calibri" w:cs="Calibri"/>
          <w:sz w:val="24"/>
          <w:szCs w:val="20"/>
          <w:lang w:val="en-GB"/>
        </w:rPr>
        <w:t xml:space="preserve">ntering into an inappropriate relationship with a young and vulnerable client falls well below the standard expected of a social worker. The practitioner’s conduct and decision-making </w:t>
      </w:r>
      <w:r w:rsidR="003F14D2">
        <w:rPr>
          <w:rFonts w:ascii="Calibri" w:eastAsia="Times New Roman" w:hAnsi="Calibri" w:cs="Calibri"/>
          <w:sz w:val="24"/>
          <w:szCs w:val="20"/>
          <w:lang w:val="en-GB"/>
        </w:rPr>
        <w:t>reflect that</w:t>
      </w:r>
      <w:r w:rsidR="00D974AA">
        <w:rPr>
          <w:rFonts w:ascii="Calibri" w:eastAsia="Times New Roman" w:hAnsi="Calibri" w:cs="Calibri"/>
          <w:sz w:val="24"/>
          <w:szCs w:val="20"/>
          <w:lang w:val="en-GB"/>
        </w:rPr>
        <w:t xml:space="preserve"> she did not possess the values and qualities </w:t>
      </w:r>
      <w:r w:rsidR="00D974AA">
        <w:rPr>
          <w:rFonts w:ascii="Calibri" w:eastAsia="Times New Roman" w:hAnsi="Calibri" w:cs="Calibri"/>
          <w:sz w:val="24"/>
          <w:szCs w:val="20"/>
          <w:lang w:val="en-GB"/>
        </w:rPr>
        <w:lastRenderedPageBreak/>
        <w:t xml:space="preserve">expected of a member of the social work </w:t>
      </w:r>
      <w:r w:rsidR="00393C22">
        <w:rPr>
          <w:rFonts w:ascii="Calibri" w:eastAsia="Times New Roman" w:hAnsi="Calibri" w:cs="Calibri"/>
          <w:sz w:val="24"/>
          <w:szCs w:val="20"/>
          <w:lang w:val="en-GB"/>
        </w:rPr>
        <w:t>profession and</w:t>
      </w:r>
      <w:r w:rsidRPr="00393C22">
        <w:rPr>
          <w:rFonts w:ascii="Calibri" w:eastAsia="Times New Roman" w:hAnsi="Calibri" w:cs="Calibri"/>
          <w:sz w:val="24"/>
          <w:szCs w:val="20"/>
          <w:lang w:val="en-GB"/>
        </w:rPr>
        <w:t xml:space="preserve"> amounted to a significant divergence from the expected standard. </w:t>
      </w:r>
      <w:r w:rsidR="00393C22">
        <w:rPr>
          <w:rFonts w:ascii="Calibri" w:eastAsia="Times New Roman" w:hAnsi="Calibri" w:cs="Calibri"/>
          <w:sz w:val="24"/>
          <w:szCs w:val="20"/>
          <w:lang w:val="en-GB"/>
        </w:rPr>
        <w:t xml:space="preserve">The practitioner </w:t>
      </w:r>
      <w:r w:rsidR="006453EA">
        <w:rPr>
          <w:rFonts w:ascii="Calibri" w:eastAsia="Times New Roman" w:hAnsi="Calibri" w:cs="Calibri"/>
          <w:sz w:val="24"/>
          <w:szCs w:val="20"/>
          <w:lang w:val="en-GB"/>
        </w:rPr>
        <w:t>entered</w:t>
      </w:r>
      <w:r w:rsidR="00393C22">
        <w:rPr>
          <w:rFonts w:ascii="Calibri" w:eastAsia="Times New Roman" w:hAnsi="Calibri" w:cs="Calibri"/>
          <w:sz w:val="24"/>
          <w:szCs w:val="20"/>
          <w:lang w:val="en-GB"/>
        </w:rPr>
        <w:t xml:space="preserve"> an inappropriate relationship with a vulnerable c</w:t>
      </w:r>
      <w:r w:rsidR="000C0AB8">
        <w:rPr>
          <w:rFonts w:ascii="Calibri" w:eastAsia="Times New Roman" w:hAnsi="Calibri" w:cs="Calibri"/>
          <w:sz w:val="24"/>
          <w:szCs w:val="20"/>
          <w:lang w:val="en-GB"/>
        </w:rPr>
        <w:t>lient who was assigned to her for care and protection purposes. The relationship was prolonged and only came to an end because it was interrupted by a disclosure</w:t>
      </w:r>
      <w:r w:rsidR="00FD25DF">
        <w:rPr>
          <w:rFonts w:ascii="Calibri" w:eastAsia="Times New Roman" w:hAnsi="Calibri" w:cs="Calibri"/>
          <w:sz w:val="24"/>
          <w:szCs w:val="20"/>
          <w:lang w:val="en-GB"/>
        </w:rPr>
        <w:t xml:space="preserve">. The relationship was characterised by an emotional dependence, sexually explicit material, and the provision of an illicit substance (cannabis). </w:t>
      </w:r>
      <w:r w:rsidR="00291E1A">
        <w:rPr>
          <w:rFonts w:ascii="Calibri" w:eastAsia="Times New Roman" w:hAnsi="Calibri" w:cs="Calibri"/>
          <w:sz w:val="24"/>
          <w:szCs w:val="20"/>
          <w:lang w:val="en-GB"/>
        </w:rPr>
        <w:t xml:space="preserve">These factors are aggravated by the fact that the victim was a young and vulnerable person and the practitioner, as a social worker, was in a privileged position of trust. </w:t>
      </w:r>
      <w:r w:rsidR="000C0AB8">
        <w:rPr>
          <w:rFonts w:ascii="Calibri" w:eastAsia="Times New Roman" w:hAnsi="Calibri" w:cs="Calibri"/>
          <w:sz w:val="24"/>
          <w:szCs w:val="20"/>
          <w:lang w:val="en-GB"/>
        </w:rPr>
        <w:t xml:space="preserve"> </w:t>
      </w:r>
    </w:p>
    <w:p w14:paraId="26BF66F5" w14:textId="28BA5DAC" w:rsidR="007F7E5E" w:rsidRDefault="007F7E5E" w:rsidP="007D0BAB">
      <w:pPr>
        <w:numPr>
          <w:ilvl w:val="1"/>
          <w:numId w:val="1"/>
        </w:numPr>
        <w:tabs>
          <w:tab w:val="left" w:pos="709"/>
        </w:tabs>
        <w:spacing w:after="0" w:line="360" w:lineRule="auto"/>
        <w:ind w:left="1701" w:hanging="567"/>
        <w:contextualSpacing/>
        <w:jc w:val="both"/>
        <w:rPr>
          <w:rFonts w:ascii="Calibri" w:eastAsia="Times New Roman" w:hAnsi="Calibri" w:cs="Calibri"/>
          <w:sz w:val="24"/>
          <w:szCs w:val="20"/>
          <w:lang w:val="en-GB"/>
        </w:rPr>
      </w:pPr>
      <w:r>
        <w:rPr>
          <w:rFonts w:ascii="Calibri" w:eastAsia="Times New Roman" w:hAnsi="Calibri" w:cs="Calibri"/>
          <w:sz w:val="24"/>
          <w:szCs w:val="20"/>
          <w:lang w:val="en-GB"/>
        </w:rPr>
        <w:t xml:space="preserve">The practitioner demonstrated a lack of judgement and </w:t>
      </w:r>
      <w:r w:rsidR="003321F4">
        <w:rPr>
          <w:rFonts w:ascii="Calibri" w:eastAsia="Times New Roman" w:hAnsi="Calibri" w:cs="Calibri"/>
          <w:sz w:val="24"/>
          <w:szCs w:val="20"/>
          <w:lang w:val="en-GB"/>
        </w:rPr>
        <w:t>good decision-making for a period of months over the course of the relationship. This included engaging in meeting with the victim outside her social work duties, continuing the communications over Messenger, using dishonesty to the first complainant’s caregiver in order to create opportunities to see him, and sharing cannabis with both vic</w:t>
      </w:r>
      <w:r w:rsidR="003C50F3">
        <w:rPr>
          <w:rFonts w:ascii="Calibri" w:eastAsia="Times New Roman" w:hAnsi="Calibri" w:cs="Calibri"/>
          <w:sz w:val="24"/>
          <w:szCs w:val="20"/>
          <w:lang w:val="en-GB"/>
        </w:rPr>
        <w:t xml:space="preserve">tims. This conduct demonstrates that the practitioner offended in circumstances that reflect adversely on her fitness to practise as a </w:t>
      </w:r>
      <w:r w:rsidR="00E825CC">
        <w:rPr>
          <w:rFonts w:ascii="Calibri" w:eastAsia="Times New Roman" w:hAnsi="Calibri" w:cs="Calibri"/>
          <w:sz w:val="24"/>
          <w:szCs w:val="20"/>
          <w:lang w:val="en-GB"/>
        </w:rPr>
        <w:t>social worker.</w:t>
      </w:r>
    </w:p>
    <w:p w14:paraId="765A50F5" w14:textId="0D379CF2" w:rsidR="00E825CC" w:rsidRPr="00393C22" w:rsidRDefault="00E825CC" w:rsidP="007D0BAB">
      <w:pPr>
        <w:numPr>
          <w:ilvl w:val="1"/>
          <w:numId w:val="1"/>
        </w:numPr>
        <w:tabs>
          <w:tab w:val="left" w:pos="709"/>
        </w:tabs>
        <w:spacing w:after="0" w:line="360" w:lineRule="auto"/>
        <w:ind w:left="1701" w:hanging="567"/>
        <w:contextualSpacing/>
        <w:jc w:val="both"/>
        <w:rPr>
          <w:rFonts w:ascii="Calibri" w:eastAsia="Times New Roman" w:hAnsi="Calibri" w:cs="Calibri"/>
          <w:sz w:val="24"/>
          <w:szCs w:val="20"/>
          <w:lang w:val="en-GB"/>
        </w:rPr>
      </w:pPr>
      <w:r>
        <w:rPr>
          <w:rFonts w:ascii="Calibri" w:eastAsia="Times New Roman" w:hAnsi="Calibri" w:cs="Calibri"/>
          <w:sz w:val="24"/>
          <w:szCs w:val="20"/>
          <w:lang w:val="en-GB"/>
        </w:rPr>
        <w:t xml:space="preserve">The conviction for attempting to pervert the course of justice involved </w:t>
      </w:r>
      <w:r w:rsidR="003931E4">
        <w:rPr>
          <w:rFonts w:ascii="Calibri" w:eastAsia="Times New Roman" w:hAnsi="Calibri" w:cs="Calibri"/>
          <w:sz w:val="24"/>
          <w:szCs w:val="20"/>
          <w:lang w:val="en-GB"/>
        </w:rPr>
        <w:t>the practitioner encouraging a young vulnerable client to act in a dishonest way</w:t>
      </w:r>
      <w:r w:rsidR="00121A3C">
        <w:rPr>
          <w:rFonts w:ascii="Calibri" w:eastAsia="Times New Roman" w:hAnsi="Calibri" w:cs="Calibri"/>
          <w:sz w:val="24"/>
          <w:szCs w:val="20"/>
          <w:lang w:val="en-GB"/>
        </w:rPr>
        <w:t xml:space="preserve"> (to lie about their relationship)</w:t>
      </w:r>
      <w:r w:rsidR="003931E4">
        <w:rPr>
          <w:rFonts w:ascii="Calibri" w:eastAsia="Times New Roman" w:hAnsi="Calibri" w:cs="Calibri"/>
          <w:sz w:val="24"/>
          <w:szCs w:val="20"/>
          <w:lang w:val="en-GB"/>
        </w:rPr>
        <w:t xml:space="preserve"> when dealing with authorities</w:t>
      </w:r>
      <w:r w:rsidR="00121A3C">
        <w:rPr>
          <w:rFonts w:ascii="Calibri" w:eastAsia="Times New Roman" w:hAnsi="Calibri" w:cs="Calibri"/>
          <w:sz w:val="24"/>
          <w:szCs w:val="20"/>
          <w:lang w:val="en-GB"/>
        </w:rPr>
        <w:t xml:space="preserve"> (Police)</w:t>
      </w:r>
      <w:r w:rsidR="003931E4">
        <w:rPr>
          <w:rFonts w:ascii="Calibri" w:eastAsia="Times New Roman" w:hAnsi="Calibri" w:cs="Calibri"/>
          <w:sz w:val="24"/>
          <w:szCs w:val="20"/>
          <w:lang w:val="en-GB"/>
        </w:rPr>
        <w:t xml:space="preserve"> in </w:t>
      </w:r>
      <w:r w:rsidR="00121A3C">
        <w:rPr>
          <w:rFonts w:ascii="Calibri" w:eastAsia="Times New Roman" w:hAnsi="Calibri" w:cs="Calibri"/>
          <w:sz w:val="24"/>
          <w:szCs w:val="20"/>
          <w:lang w:val="en-GB"/>
        </w:rPr>
        <w:t xml:space="preserve">an </w:t>
      </w:r>
      <w:r w:rsidR="003931E4">
        <w:rPr>
          <w:rFonts w:ascii="Calibri" w:eastAsia="Times New Roman" w:hAnsi="Calibri" w:cs="Calibri"/>
          <w:sz w:val="24"/>
          <w:szCs w:val="20"/>
          <w:lang w:val="en-GB"/>
        </w:rPr>
        <w:t>attempt</w:t>
      </w:r>
      <w:r w:rsidR="00121A3C">
        <w:rPr>
          <w:rFonts w:ascii="Calibri" w:eastAsia="Times New Roman" w:hAnsi="Calibri" w:cs="Calibri"/>
          <w:sz w:val="24"/>
          <w:szCs w:val="20"/>
          <w:lang w:val="en-GB"/>
        </w:rPr>
        <w:t xml:space="preserve"> by her</w:t>
      </w:r>
      <w:r w:rsidR="003931E4">
        <w:rPr>
          <w:rFonts w:ascii="Calibri" w:eastAsia="Times New Roman" w:hAnsi="Calibri" w:cs="Calibri"/>
          <w:sz w:val="24"/>
          <w:szCs w:val="20"/>
          <w:lang w:val="en-GB"/>
        </w:rPr>
        <w:t xml:space="preserve"> </w:t>
      </w:r>
      <w:r w:rsidR="00CA00E6">
        <w:rPr>
          <w:rFonts w:ascii="Calibri" w:eastAsia="Times New Roman" w:hAnsi="Calibri" w:cs="Calibri"/>
          <w:sz w:val="24"/>
          <w:szCs w:val="20"/>
          <w:lang w:val="en-GB"/>
        </w:rPr>
        <w:t>t</w:t>
      </w:r>
      <w:r w:rsidR="00121A3C">
        <w:rPr>
          <w:rFonts w:ascii="Calibri" w:eastAsia="Times New Roman" w:hAnsi="Calibri" w:cs="Calibri"/>
          <w:sz w:val="24"/>
          <w:szCs w:val="20"/>
          <w:lang w:val="en-GB"/>
        </w:rPr>
        <w:t xml:space="preserve">o </w:t>
      </w:r>
      <w:r w:rsidR="00CA00E6">
        <w:rPr>
          <w:rFonts w:ascii="Calibri" w:eastAsia="Times New Roman" w:hAnsi="Calibri" w:cs="Calibri"/>
          <w:sz w:val="24"/>
          <w:szCs w:val="20"/>
          <w:lang w:val="en-GB"/>
        </w:rPr>
        <w:t>avoid detection or punishment</w:t>
      </w:r>
      <w:r>
        <w:rPr>
          <w:rFonts w:ascii="Calibri" w:eastAsia="Times New Roman" w:hAnsi="Calibri" w:cs="Calibri"/>
          <w:sz w:val="24"/>
          <w:szCs w:val="20"/>
          <w:lang w:val="en-GB"/>
        </w:rPr>
        <w:t>. While this may have been out of panic and fear rather than deliberate maliciousness (as the Judge found), the conduct raises questions about the practitioner’s judgement and integrity</w:t>
      </w:r>
      <w:r w:rsidR="00E73249">
        <w:rPr>
          <w:rFonts w:ascii="Calibri" w:eastAsia="Times New Roman" w:hAnsi="Calibri" w:cs="Calibri"/>
          <w:sz w:val="24"/>
          <w:szCs w:val="20"/>
          <w:lang w:val="en-GB"/>
        </w:rPr>
        <w:t xml:space="preserve"> and</w:t>
      </w:r>
      <w:r w:rsidR="00FC5473">
        <w:rPr>
          <w:rFonts w:ascii="Calibri" w:eastAsia="Times New Roman" w:hAnsi="Calibri" w:cs="Calibri"/>
          <w:sz w:val="24"/>
          <w:szCs w:val="20"/>
          <w:lang w:val="en-GB"/>
        </w:rPr>
        <w:t xml:space="preserve"> was conduct that</w:t>
      </w:r>
      <w:r w:rsidR="00E73249">
        <w:rPr>
          <w:rFonts w:ascii="Calibri" w:eastAsia="Times New Roman" w:hAnsi="Calibri" w:cs="Calibri"/>
          <w:sz w:val="24"/>
          <w:szCs w:val="20"/>
          <w:lang w:val="en-GB"/>
        </w:rPr>
        <w:t xml:space="preserve"> fell short of the standards expected of members of the social work profession</w:t>
      </w:r>
      <w:r>
        <w:rPr>
          <w:rFonts w:ascii="Calibri" w:eastAsia="Times New Roman" w:hAnsi="Calibri" w:cs="Calibri"/>
          <w:sz w:val="24"/>
          <w:szCs w:val="20"/>
          <w:lang w:val="en-GB"/>
        </w:rPr>
        <w:t>.</w:t>
      </w:r>
    </w:p>
    <w:p w14:paraId="28A2EA60" w14:textId="36532EB4" w:rsidR="00285939" w:rsidRDefault="00285939" w:rsidP="007D0BAB">
      <w:pPr>
        <w:numPr>
          <w:ilvl w:val="1"/>
          <w:numId w:val="1"/>
        </w:numPr>
        <w:tabs>
          <w:tab w:val="left" w:pos="709"/>
        </w:tabs>
        <w:spacing w:after="0" w:line="360" w:lineRule="auto"/>
        <w:ind w:left="1701" w:hanging="567"/>
        <w:contextualSpacing/>
        <w:jc w:val="both"/>
        <w:rPr>
          <w:rFonts w:ascii="Calibri" w:eastAsia="Times New Roman" w:hAnsi="Calibri" w:cs="Calibri"/>
          <w:sz w:val="24"/>
          <w:szCs w:val="20"/>
          <w:lang w:val="en-GB"/>
        </w:rPr>
      </w:pPr>
      <w:r w:rsidRPr="00285939">
        <w:rPr>
          <w:rFonts w:ascii="Calibri" w:eastAsia="Times New Roman" w:hAnsi="Calibri" w:cs="Calibri"/>
          <w:sz w:val="24"/>
          <w:szCs w:val="20"/>
          <w:lang w:val="en-GB"/>
        </w:rPr>
        <w:t>The facts establish that the convictions and the circumstances of the offending reflect adversely on the practitioner’s fitness to practise as a social worker and a disciplinary response is warranted.</w:t>
      </w:r>
    </w:p>
    <w:p w14:paraId="30337513" w14:textId="07E157B9" w:rsidR="00AA65A4" w:rsidRDefault="00551876" w:rsidP="007D0BAB">
      <w:pPr>
        <w:numPr>
          <w:ilvl w:val="1"/>
          <w:numId w:val="1"/>
        </w:numPr>
        <w:tabs>
          <w:tab w:val="left" w:pos="709"/>
        </w:tabs>
        <w:spacing w:after="0" w:line="360" w:lineRule="auto"/>
        <w:ind w:left="1701" w:hanging="567"/>
        <w:contextualSpacing/>
        <w:jc w:val="both"/>
        <w:rPr>
          <w:rFonts w:ascii="Calibri" w:eastAsia="Times New Roman" w:hAnsi="Calibri" w:cs="Calibri"/>
          <w:sz w:val="24"/>
          <w:szCs w:val="20"/>
          <w:lang w:val="en-GB"/>
        </w:rPr>
      </w:pPr>
      <w:r>
        <w:rPr>
          <w:rFonts w:ascii="Calibri" w:eastAsia="Times New Roman" w:hAnsi="Calibri" w:cs="Calibri"/>
          <w:sz w:val="24"/>
          <w:szCs w:val="20"/>
          <w:lang w:val="en-GB"/>
        </w:rPr>
        <w:t>In the alternative, t</w:t>
      </w:r>
      <w:r w:rsidR="00AA65A4">
        <w:rPr>
          <w:rFonts w:ascii="Calibri" w:eastAsia="Times New Roman" w:hAnsi="Calibri" w:cs="Calibri"/>
          <w:sz w:val="24"/>
          <w:szCs w:val="20"/>
          <w:lang w:val="en-GB"/>
        </w:rPr>
        <w:t>he conduct amounted to professional misconduct</w:t>
      </w:r>
      <w:r w:rsidR="005F7657">
        <w:rPr>
          <w:rFonts w:ascii="Calibri" w:eastAsia="Times New Roman" w:hAnsi="Calibri" w:cs="Calibri"/>
          <w:sz w:val="24"/>
          <w:szCs w:val="20"/>
          <w:lang w:val="en-GB"/>
        </w:rPr>
        <w:t xml:space="preserve"> for the purposes of section 82(1)(a)</w:t>
      </w:r>
      <w:r>
        <w:rPr>
          <w:rFonts w:ascii="Calibri" w:eastAsia="Times New Roman" w:hAnsi="Calibri" w:cs="Calibri"/>
          <w:sz w:val="24"/>
          <w:szCs w:val="20"/>
          <w:lang w:val="en-GB"/>
        </w:rPr>
        <w:t xml:space="preserve"> because it involved breaches of principles 1, 5, </w:t>
      </w:r>
      <w:r>
        <w:rPr>
          <w:rFonts w:ascii="Calibri" w:eastAsia="Times New Roman" w:hAnsi="Calibri" w:cs="Calibri"/>
          <w:sz w:val="24"/>
          <w:szCs w:val="20"/>
          <w:lang w:val="en-GB"/>
        </w:rPr>
        <w:lastRenderedPageBreak/>
        <w:t>6 and 9 of the Code of Conduct</w:t>
      </w:r>
      <w:r w:rsidR="004342B1">
        <w:rPr>
          <w:rFonts w:ascii="Calibri" w:eastAsia="Times New Roman" w:hAnsi="Calibri" w:cs="Calibri"/>
          <w:sz w:val="24"/>
          <w:szCs w:val="20"/>
          <w:lang w:val="en-GB"/>
        </w:rPr>
        <w:t xml:space="preserve"> (and was serious given the age of the victim and the practitioner’s trust over him) and was conduct that put the social work profession at risk</w:t>
      </w:r>
      <w:r w:rsidR="00186D77">
        <w:rPr>
          <w:rStyle w:val="FootnoteReference"/>
          <w:rFonts w:ascii="Calibri" w:eastAsia="Times New Roman" w:hAnsi="Calibri" w:cs="Calibri"/>
          <w:sz w:val="24"/>
          <w:szCs w:val="20"/>
          <w:lang w:val="en-GB"/>
        </w:rPr>
        <w:footnoteReference w:id="18"/>
      </w:r>
      <w:r w:rsidR="004342B1">
        <w:rPr>
          <w:rFonts w:ascii="Calibri" w:eastAsia="Times New Roman" w:hAnsi="Calibri" w:cs="Calibri"/>
          <w:sz w:val="24"/>
          <w:szCs w:val="20"/>
          <w:lang w:val="en-GB"/>
        </w:rPr>
        <w:t>, was not ethical and professional</w:t>
      </w:r>
      <w:r w:rsidR="00186D77">
        <w:rPr>
          <w:rStyle w:val="FootnoteReference"/>
          <w:rFonts w:ascii="Calibri" w:eastAsia="Times New Roman" w:hAnsi="Calibri" w:cs="Calibri"/>
          <w:sz w:val="24"/>
          <w:szCs w:val="20"/>
          <w:lang w:val="en-GB"/>
        </w:rPr>
        <w:footnoteReference w:id="19"/>
      </w:r>
      <w:r w:rsidR="004342B1">
        <w:rPr>
          <w:rFonts w:ascii="Calibri" w:eastAsia="Times New Roman" w:hAnsi="Calibri" w:cs="Calibri"/>
          <w:sz w:val="24"/>
          <w:szCs w:val="20"/>
          <w:lang w:val="en-GB"/>
        </w:rPr>
        <w:t xml:space="preserve"> and risked bringing the profession into disrepute</w:t>
      </w:r>
      <w:r w:rsidR="003747A6">
        <w:rPr>
          <w:rStyle w:val="FootnoteReference"/>
          <w:rFonts w:ascii="Calibri" w:eastAsia="Times New Roman" w:hAnsi="Calibri" w:cs="Calibri"/>
          <w:sz w:val="24"/>
          <w:szCs w:val="20"/>
          <w:lang w:val="en-GB"/>
        </w:rPr>
        <w:footnoteReference w:id="20"/>
      </w:r>
      <w:r w:rsidR="004342B1">
        <w:rPr>
          <w:rFonts w:ascii="Calibri" w:eastAsia="Times New Roman" w:hAnsi="Calibri" w:cs="Calibri"/>
          <w:sz w:val="24"/>
          <w:szCs w:val="20"/>
          <w:lang w:val="en-GB"/>
        </w:rPr>
        <w:t>.</w:t>
      </w:r>
      <w:r w:rsidR="005F7657">
        <w:rPr>
          <w:rFonts w:ascii="Calibri" w:eastAsia="Times New Roman" w:hAnsi="Calibri" w:cs="Calibri"/>
          <w:sz w:val="24"/>
          <w:szCs w:val="20"/>
          <w:lang w:val="en-GB"/>
        </w:rPr>
        <w:t xml:space="preserve"> </w:t>
      </w:r>
      <w:r w:rsidR="00DD093F">
        <w:rPr>
          <w:rFonts w:ascii="Calibri" w:eastAsia="Times New Roman" w:hAnsi="Calibri" w:cs="Calibri"/>
          <w:sz w:val="24"/>
          <w:szCs w:val="20"/>
          <w:lang w:val="en-GB"/>
        </w:rPr>
        <w:t>Reasonable members of the public informed and with the knowledge of all the factual circumstances, could reasonably conclude that the reputation and good-standing of the social work profession was lowered by the behaviour of the practitioner.</w:t>
      </w:r>
      <w:r w:rsidR="00DD093F">
        <w:rPr>
          <w:rStyle w:val="FootnoteReference"/>
          <w:rFonts w:ascii="Calibri" w:eastAsia="Times New Roman" w:hAnsi="Calibri" w:cs="Calibri"/>
          <w:sz w:val="24"/>
          <w:szCs w:val="20"/>
          <w:lang w:val="en-GB"/>
        </w:rPr>
        <w:footnoteReference w:id="21"/>
      </w:r>
      <w:r w:rsidR="00207ADA">
        <w:rPr>
          <w:rFonts w:ascii="Calibri" w:eastAsia="Times New Roman" w:hAnsi="Calibri" w:cs="Calibri"/>
          <w:sz w:val="24"/>
          <w:szCs w:val="20"/>
          <w:lang w:val="en-GB"/>
        </w:rPr>
        <w:t xml:space="preserve"> The conduct met the second (threshold) step of the two stage test for professional misconduct in tha</w:t>
      </w:r>
      <w:r w:rsidR="000B0B32">
        <w:rPr>
          <w:rFonts w:ascii="Calibri" w:eastAsia="Times New Roman" w:hAnsi="Calibri" w:cs="Calibri"/>
          <w:sz w:val="24"/>
          <w:szCs w:val="20"/>
          <w:lang w:val="en-GB"/>
        </w:rPr>
        <w:t>t</w:t>
      </w:r>
      <w:r w:rsidR="00F21E59">
        <w:rPr>
          <w:rFonts w:ascii="Calibri" w:eastAsia="Times New Roman" w:hAnsi="Calibri" w:cs="Calibri"/>
          <w:sz w:val="24"/>
          <w:szCs w:val="20"/>
          <w:lang w:val="en-GB"/>
        </w:rPr>
        <w:t xml:space="preserve"> the practitioner’s acts require a disciplinary sanction for the purposes of protecting the saf</w:t>
      </w:r>
      <w:r w:rsidR="0057741E">
        <w:rPr>
          <w:rFonts w:ascii="Calibri" w:eastAsia="Times New Roman" w:hAnsi="Calibri" w:cs="Calibri"/>
          <w:sz w:val="24"/>
          <w:szCs w:val="20"/>
          <w:lang w:val="en-GB"/>
        </w:rPr>
        <w:t>ety of the public and/or enhancing the professionalism of social workers.</w:t>
      </w:r>
      <w:r w:rsidR="0057741E">
        <w:rPr>
          <w:rStyle w:val="FootnoteReference"/>
          <w:rFonts w:ascii="Calibri" w:eastAsia="Times New Roman" w:hAnsi="Calibri" w:cs="Calibri"/>
          <w:sz w:val="24"/>
          <w:szCs w:val="20"/>
          <w:lang w:val="en-GB"/>
        </w:rPr>
        <w:footnoteReference w:id="22"/>
      </w:r>
    </w:p>
    <w:p w14:paraId="27EDF77E" w14:textId="77777777" w:rsidR="0025685A" w:rsidRPr="00285939" w:rsidRDefault="0025685A" w:rsidP="007D0BAB">
      <w:pPr>
        <w:tabs>
          <w:tab w:val="left" w:pos="709"/>
        </w:tabs>
        <w:spacing w:after="0" w:line="360" w:lineRule="auto"/>
        <w:ind w:left="1701"/>
        <w:contextualSpacing/>
        <w:jc w:val="both"/>
        <w:rPr>
          <w:rFonts w:ascii="Calibri" w:eastAsia="Times New Roman" w:hAnsi="Calibri" w:cs="Calibri"/>
          <w:sz w:val="24"/>
          <w:szCs w:val="20"/>
          <w:lang w:val="en-GB"/>
        </w:rPr>
      </w:pPr>
    </w:p>
    <w:p w14:paraId="0D06210C" w14:textId="7FD1C313" w:rsidR="00285939" w:rsidRPr="00285939" w:rsidRDefault="00285939" w:rsidP="00285939">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sidRPr="00285939">
        <w:rPr>
          <w:rFonts w:ascii="Calibri" w:eastAsia="Times New Roman" w:hAnsi="Calibri" w:cs="Calibri"/>
          <w:sz w:val="24"/>
          <w:szCs w:val="20"/>
          <w:lang w:val="en-GB"/>
        </w:rPr>
        <w:t xml:space="preserve">The Tribunal accepted those submissions from the PCC. </w:t>
      </w:r>
    </w:p>
    <w:p w14:paraId="3F2E775E" w14:textId="389C49DB" w:rsidR="00285939" w:rsidRPr="00285939" w:rsidRDefault="00285939" w:rsidP="00285939">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sidRPr="00285939">
        <w:rPr>
          <w:rFonts w:ascii="Calibri" w:eastAsia="Times New Roman" w:hAnsi="Calibri" w:cs="Calibri"/>
          <w:sz w:val="24"/>
          <w:szCs w:val="20"/>
          <w:lang w:val="en-GB"/>
        </w:rPr>
        <w:t>Section 82(1)(c) of the SWR Act refers generically to convictions for an offence punishable by imprisonment for a term of 3 months or longer. No specific offences against specified statutes are referred to in this section of the Act (unlike in the equivalent section in the Health Practitioners Competence Assurance Act 2003). The onus is on the PCC to establish that the convictions</w:t>
      </w:r>
      <w:r w:rsidR="006D1F23">
        <w:rPr>
          <w:rFonts w:ascii="Calibri" w:eastAsia="Times New Roman" w:hAnsi="Calibri" w:cs="Calibri"/>
          <w:sz w:val="24"/>
          <w:szCs w:val="20"/>
          <w:lang w:val="en-GB"/>
        </w:rPr>
        <w:t xml:space="preserve"> were committed in circumstances that</w:t>
      </w:r>
      <w:r w:rsidRPr="00285939">
        <w:rPr>
          <w:rFonts w:ascii="Calibri" w:eastAsia="Times New Roman" w:hAnsi="Calibri" w:cs="Calibri"/>
          <w:sz w:val="24"/>
          <w:szCs w:val="20"/>
          <w:lang w:val="en-GB"/>
        </w:rPr>
        <w:t xml:space="preserve"> reflect adversely on fitness to</w:t>
      </w:r>
      <w:r w:rsidR="0083083A">
        <w:rPr>
          <w:rFonts w:ascii="Calibri" w:eastAsia="Times New Roman" w:hAnsi="Calibri" w:cs="Calibri"/>
          <w:sz w:val="24"/>
          <w:szCs w:val="20"/>
          <w:lang w:val="en-GB"/>
        </w:rPr>
        <w:t xml:space="preserve"> </w:t>
      </w:r>
      <w:r w:rsidRPr="00285939">
        <w:rPr>
          <w:rFonts w:ascii="Calibri" w:eastAsia="Times New Roman" w:hAnsi="Calibri" w:cs="Calibri"/>
          <w:sz w:val="24"/>
          <w:szCs w:val="20"/>
          <w:lang w:val="en-GB"/>
        </w:rPr>
        <w:t>practise, on the balance of probabilities</w:t>
      </w:r>
      <w:r w:rsidR="009C04DF">
        <w:rPr>
          <w:rStyle w:val="FootnoteReference"/>
          <w:rFonts w:ascii="Calibri" w:eastAsia="Times New Roman" w:hAnsi="Calibri" w:cs="Calibri"/>
          <w:sz w:val="24"/>
          <w:szCs w:val="20"/>
          <w:lang w:val="en-GB"/>
        </w:rPr>
        <w:footnoteReference w:id="23"/>
      </w:r>
      <w:r w:rsidRPr="00285939">
        <w:rPr>
          <w:rFonts w:ascii="Calibri" w:eastAsia="Times New Roman" w:hAnsi="Calibri" w:cs="Calibri"/>
          <w:sz w:val="24"/>
          <w:szCs w:val="20"/>
          <w:lang w:val="en-GB"/>
        </w:rPr>
        <w:t>.</w:t>
      </w:r>
    </w:p>
    <w:p w14:paraId="74A618DA" w14:textId="75EE6EEC" w:rsidR="00285939" w:rsidRPr="00285939" w:rsidRDefault="00285939" w:rsidP="00285939">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sidRPr="00285939">
        <w:rPr>
          <w:rFonts w:ascii="Calibri" w:eastAsia="Times New Roman" w:hAnsi="Calibri" w:cs="Calibri"/>
          <w:sz w:val="24"/>
          <w:szCs w:val="20"/>
          <w:lang w:val="en-GB"/>
        </w:rPr>
        <w:t>The Tribunal was satisfied there c</w:t>
      </w:r>
      <w:r w:rsidR="0083083A">
        <w:rPr>
          <w:rFonts w:ascii="Calibri" w:eastAsia="Times New Roman" w:hAnsi="Calibri" w:cs="Calibri"/>
          <w:sz w:val="24"/>
          <w:szCs w:val="20"/>
          <w:lang w:val="en-GB"/>
        </w:rPr>
        <w:t>an</w:t>
      </w:r>
      <w:r w:rsidRPr="00285939">
        <w:rPr>
          <w:rFonts w:ascii="Calibri" w:eastAsia="Times New Roman" w:hAnsi="Calibri" w:cs="Calibri"/>
          <w:sz w:val="24"/>
          <w:szCs w:val="20"/>
          <w:lang w:val="en-GB"/>
        </w:rPr>
        <w:t xml:space="preserve"> be no doubt that this was </w:t>
      </w:r>
      <w:r w:rsidR="006A3558">
        <w:rPr>
          <w:rFonts w:ascii="Calibri" w:eastAsia="Times New Roman" w:hAnsi="Calibri" w:cs="Calibri"/>
          <w:sz w:val="24"/>
          <w:szCs w:val="20"/>
          <w:lang w:val="en-GB"/>
        </w:rPr>
        <w:t xml:space="preserve">very </w:t>
      </w:r>
      <w:r w:rsidRPr="00285939">
        <w:rPr>
          <w:rFonts w:ascii="Calibri" w:eastAsia="Times New Roman" w:hAnsi="Calibri" w:cs="Calibri"/>
          <w:sz w:val="24"/>
          <w:szCs w:val="20"/>
          <w:lang w:val="en-GB"/>
        </w:rPr>
        <w:t>serious offending by</w:t>
      </w:r>
      <w:r w:rsidR="006A3558">
        <w:rPr>
          <w:rFonts w:ascii="Calibri" w:eastAsia="Times New Roman" w:hAnsi="Calibri" w:cs="Calibri"/>
          <w:sz w:val="24"/>
          <w:szCs w:val="20"/>
          <w:lang w:val="en-GB"/>
        </w:rPr>
        <w:t xml:space="preserve"> the practitioner</w:t>
      </w:r>
      <w:r w:rsidRPr="00285939">
        <w:rPr>
          <w:rFonts w:ascii="Calibri" w:eastAsia="Times New Roman" w:hAnsi="Calibri" w:cs="Calibri"/>
          <w:sz w:val="24"/>
          <w:szCs w:val="20"/>
          <w:lang w:val="en-GB"/>
        </w:rPr>
        <w:t xml:space="preserve">. Extracts from the District Court Judge’s Sentencing Notes demonstrate the </w:t>
      </w:r>
      <w:r w:rsidR="006A3558">
        <w:rPr>
          <w:rFonts w:ascii="Calibri" w:eastAsia="Times New Roman" w:hAnsi="Calibri" w:cs="Calibri"/>
          <w:sz w:val="24"/>
          <w:szCs w:val="20"/>
          <w:lang w:val="en-GB"/>
        </w:rPr>
        <w:t>gravity</w:t>
      </w:r>
      <w:r w:rsidRPr="00285939">
        <w:rPr>
          <w:rFonts w:ascii="Calibri" w:eastAsia="Times New Roman" w:hAnsi="Calibri" w:cs="Calibri"/>
          <w:sz w:val="24"/>
          <w:szCs w:val="20"/>
          <w:lang w:val="en-GB"/>
        </w:rPr>
        <w:t xml:space="preserve"> of the conduct and the convictions and include:</w:t>
      </w:r>
    </w:p>
    <w:p w14:paraId="23145CE2" w14:textId="77777777" w:rsidR="00285939" w:rsidRPr="00285939" w:rsidRDefault="00285939" w:rsidP="00285939">
      <w:pPr>
        <w:tabs>
          <w:tab w:val="left" w:pos="709"/>
        </w:tabs>
        <w:spacing w:after="0" w:line="360" w:lineRule="auto"/>
        <w:ind w:left="567"/>
        <w:contextualSpacing/>
        <w:jc w:val="both"/>
        <w:rPr>
          <w:rFonts w:ascii="Calibri" w:eastAsia="Times New Roman" w:hAnsi="Calibri" w:cs="Calibri"/>
          <w:sz w:val="24"/>
          <w:szCs w:val="20"/>
          <w:lang w:val="en-GB"/>
        </w:rPr>
      </w:pPr>
    </w:p>
    <w:p w14:paraId="392A8E4D" w14:textId="57224061" w:rsidR="00BA54DD" w:rsidRDefault="00285939" w:rsidP="00285939">
      <w:pPr>
        <w:tabs>
          <w:tab w:val="left" w:pos="709"/>
        </w:tabs>
        <w:spacing w:after="0" w:line="360" w:lineRule="auto"/>
        <w:ind w:left="709"/>
        <w:contextualSpacing/>
        <w:jc w:val="both"/>
        <w:rPr>
          <w:rFonts w:ascii="Calibri" w:eastAsia="Times New Roman" w:hAnsi="Calibri" w:cs="Calibri"/>
          <w:i/>
          <w:iCs/>
          <w:lang w:val="en-GB"/>
        </w:rPr>
      </w:pPr>
      <w:r w:rsidRPr="00285939">
        <w:rPr>
          <w:rFonts w:ascii="Calibri" w:eastAsia="Times New Roman" w:hAnsi="Calibri" w:cs="Calibri"/>
          <w:i/>
          <w:iCs/>
          <w:sz w:val="24"/>
          <w:szCs w:val="20"/>
          <w:lang w:val="en-GB"/>
        </w:rPr>
        <w:tab/>
      </w:r>
      <w:r w:rsidRPr="00285939">
        <w:rPr>
          <w:rFonts w:ascii="Calibri" w:eastAsia="Times New Roman" w:hAnsi="Calibri" w:cs="Calibri"/>
          <w:i/>
          <w:iCs/>
          <w:lang w:val="en-GB"/>
        </w:rPr>
        <w:t>“</w:t>
      </w:r>
      <w:r w:rsidR="00BA54DD">
        <w:rPr>
          <w:rFonts w:ascii="Calibri" w:eastAsia="Times New Roman" w:hAnsi="Calibri" w:cs="Calibri"/>
          <w:i/>
          <w:iCs/>
          <w:lang w:val="en-GB"/>
        </w:rPr>
        <w:t>[12]</w:t>
      </w:r>
      <w:r w:rsidR="00C84197">
        <w:rPr>
          <w:rFonts w:ascii="Calibri" w:eastAsia="Times New Roman" w:hAnsi="Calibri" w:cs="Calibri"/>
          <w:i/>
          <w:iCs/>
          <w:lang w:val="en-GB"/>
        </w:rPr>
        <w:t>I do not have a victim impact statement, but one can well imagine the effect that this would have had on a boy who was then 15 years of age, and I see no reason to think that he would suffer any less than a female in that situation.</w:t>
      </w:r>
    </w:p>
    <w:p w14:paraId="73BDD1F4" w14:textId="654071B1" w:rsidR="00DF6E5A" w:rsidRDefault="00DF6E5A" w:rsidP="00285939">
      <w:pPr>
        <w:tabs>
          <w:tab w:val="left" w:pos="709"/>
        </w:tabs>
        <w:spacing w:after="0" w:line="360" w:lineRule="auto"/>
        <w:ind w:left="709"/>
        <w:contextualSpacing/>
        <w:jc w:val="both"/>
        <w:rPr>
          <w:rFonts w:ascii="Calibri" w:eastAsia="Times New Roman" w:hAnsi="Calibri" w:cs="Calibri"/>
          <w:i/>
          <w:iCs/>
          <w:lang w:val="en-GB"/>
        </w:rPr>
      </w:pPr>
      <w:r>
        <w:rPr>
          <w:rFonts w:ascii="Calibri" w:eastAsia="Times New Roman" w:hAnsi="Calibri" w:cs="Calibri"/>
          <w:i/>
          <w:iCs/>
          <w:lang w:val="en-GB"/>
        </w:rPr>
        <w:t>….</w:t>
      </w:r>
    </w:p>
    <w:p w14:paraId="745676BA" w14:textId="7EC53C46" w:rsidR="00DF6E5A" w:rsidRDefault="00DF6E5A" w:rsidP="00285939">
      <w:pPr>
        <w:tabs>
          <w:tab w:val="left" w:pos="709"/>
        </w:tabs>
        <w:spacing w:after="0" w:line="360" w:lineRule="auto"/>
        <w:ind w:left="709"/>
        <w:contextualSpacing/>
        <w:jc w:val="both"/>
        <w:rPr>
          <w:rFonts w:ascii="Calibri" w:eastAsia="Times New Roman" w:hAnsi="Calibri" w:cs="Calibri"/>
          <w:i/>
          <w:iCs/>
          <w:lang w:val="en-GB"/>
        </w:rPr>
      </w:pPr>
      <w:r>
        <w:rPr>
          <w:rFonts w:ascii="Calibri" w:eastAsia="Times New Roman" w:hAnsi="Calibri" w:cs="Calibri"/>
          <w:i/>
          <w:iCs/>
          <w:lang w:val="en-GB"/>
        </w:rPr>
        <w:lastRenderedPageBreak/>
        <w:t>[15]….[this] is a case involving the sexual exploitation of a child…</w:t>
      </w:r>
    </w:p>
    <w:p w14:paraId="509D765F" w14:textId="77777777" w:rsidR="00BA54DD" w:rsidRDefault="00BA54DD" w:rsidP="00285939">
      <w:pPr>
        <w:tabs>
          <w:tab w:val="left" w:pos="709"/>
        </w:tabs>
        <w:spacing w:after="0" w:line="360" w:lineRule="auto"/>
        <w:ind w:left="709"/>
        <w:contextualSpacing/>
        <w:jc w:val="both"/>
        <w:rPr>
          <w:rFonts w:ascii="Calibri" w:eastAsia="Times New Roman" w:hAnsi="Calibri" w:cs="Calibri"/>
          <w:i/>
          <w:iCs/>
          <w:lang w:val="en-GB"/>
        </w:rPr>
      </w:pPr>
    </w:p>
    <w:p w14:paraId="5F3BFCFA" w14:textId="430D11A1" w:rsidR="00285939" w:rsidRDefault="00285939" w:rsidP="00285939">
      <w:pPr>
        <w:tabs>
          <w:tab w:val="left" w:pos="709"/>
        </w:tabs>
        <w:spacing w:after="0" w:line="360" w:lineRule="auto"/>
        <w:ind w:left="709"/>
        <w:contextualSpacing/>
        <w:jc w:val="both"/>
        <w:rPr>
          <w:rFonts w:ascii="Calibri" w:eastAsia="Times New Roman" w:hAnsi="Calibri" w:cs="Calibri"/>
          <w:i/>
          <w:iCs/>
          <w:lang w:val="en-GB"/>
        </w:rPr>
      </w:pPr>
      <w:r w:rsidRPr="00285939">
        <w:rPr>
          <w:rFonts w:ascii="Calibri" w:eastAsia="Times New Roman" w:hAnsi="Calibri" w:cs="Calibri"/>
          <w:i/>
          <w:iCs/>
          <w:lang w:val="en-GB"/>
        </w:rPr>
        <w:t>[1</w:t>
      </w:r>
      <w:r w:rsidR="00BE152F">
        <w:rPr>
          <w:rFonts w:ascii="Calibri" w:eastAsia="Times New Roman" w:hAnsi="Calibri" w:cs="Calibri"/>
          <w:i/>
          <w:iCs/>
          <w:lang w:val="en-GB"/>
        </w:rPr>
        <w:t>6</w:t>
      </w:r>
      <w:r w:rsidRPr="00285939">
        <w:rPr>
          <w:rFonts w:ascii="Calibri" w:eastAsia="Times New Roman" w:hAnsi="Calibri" w:cs="Calibri"/>
          <w:i/>
          <w:iCs/>
          <w:lang w:val="en-GB"/>
        </w:rPr>
        <w:t xml:space="preserve">] </w:t>
      </w:r>
      <w:r w:rsidR="00BE152F">
        <w:rPr>
          <w:rFonts w:ascii="Calibri" w:eastAsia="Times New Roman" w:hAnsi="Calibri" w:cs="Calibri"/>
          <w:i/>
          <w:iCs/>
          <w:lang w:val="en-GB"/>
        </w:rPr>
        <w:t xml:space="preserve">Aggravating features, clearly, </w:t>
      </w:r>
      <w:r w:rsidR="0083083A">
        <w:rPr>
          <w:rFonts w:ascii="Calibri" w:eastAsia="Times New Roman" w:hAnsi="Calibri" w:cs="Calibri"/>
          <w:i/>
          <w:iCs/>
          <w:lang w:val="en-GB"/>
        </w:rPr>
        <w:t>are</w:t>
      </w:r>
      <w:r w:rsidR="00BE152F">
        <w:rPr>
          <w:rFonts w:ascii="Calibri" w:eastAsia="Times New Roman" w:hAnsi="Calibri" w:cs="Calibri"/>
          <w:i/>
          <w:iCs/>
          <w:lang w:val="en-GB"/>
        </w:rPr>
        <w:t xml:space="preserve"> the abuse of trust and the vulnerability of the victim. There was an age difference of 19 years, but of course, you were the victim’s social worker</w:t>
      </w:r>
      <w:r w:rsidR="009C4B38">
        <w:rPr>
          <w:rFonts w:ascii="Calibri" w:eastAsia="Times New Roman" w:hAnsi="Calibri" w:cs="Calibri"/>
          <w:i/>
          <w:iCs/>
          <w:lang w:val="en-GB"/>
        </w:rPr>
        <w:t>, and you were responsible for his welfare and progress. You abused the trust placed in you and exploited his vulnerability. That is a seriously aggravating feature.</w:t>
      </w:r>
    </w:p>
    <w:p w14:paraId="552CB6D7" w14:textId="77777777" w:rsidR="0038749C" w:rsidRDefault="0038749C" w:rsidP="00285939">
      <w:pPr>
        <w:tabs>
          <w:tab w:val="left" w:pos="709"/>
        </w:tabs>
        <w:spacing w:after="0" w:line="360" w:lineRule="auto"/>
        <w:ind w:left="709"/>
        <w:contextualSpacing/>
        <w:jc w:val="both"/>
        <w:rPr>
          <w:rFonts w:ascii="Calibri" w:eastAsia="Times New Roman" w:hAnsi="Calibri" w:cs="Calibri"/>
          <w:i/>
          <w:iCs/>
          <w:lang w:val="en-GB"/>
        </w:rPr>
      </w:pPr>
    </w:p>
    <w:p w14:paraId="025E09B2" w14:textId="2818A772" w:rsidR="0022478C" w:rsidRDefault="0022478C" w:rsidP="00285939">
      <w:pPr>
        <w:tabs>
          <w:tab w:val="left" w:pos="709"/>
        </w:tabs>
        <w:spacing w:after="0" w:line="360" w:lineRule="auto"/>
        <w:ind w:left="709"/>
        <w:contextualSpacing/>
        <w:jc w:val="both"/>
        <w:rPr>
          <w:rFonts w:ascii="Calibri" w:eastAsia="Times New Roman" w:hAnsi="Calibri" w:cs="Calibri"/>
          <w:i/>
          <w:iCs/>
          <w:lang w:val="en-GB"/>
        </w:rPr>
      </w:pPr>
      <w:r>
        <w:rPr>
          <w:rFonts w:ascii="Calibri" w:eastAsia="Times New Roman" w:hAnsi="Calibri" w:cs="Calibri"/>
          <w:i/>
          <w:iCs/>
          <w:lang w:val="en-GB"/>
        </w:rPr>
        <w:t xml:space="preserve">[17] Duration of the offending was ongoing and endured for over a month. </w:t>
      </w:r>
      <w:r w:rsidR="00137F39">
        <w:rPr>
          <w:rFonts w:ascii="Calibri" w:eastAsia="Times New Roman" w:hAnsi="Calibri" w:cs="Calibri"/>
          <w:i/>
          <w:iCs/>
          <w:lang w:val="en-GB"/>
        </w:rPr>
        <w:t>…Attempts at concealment…and the impact on and the extent of the harm to the victim</w:t>
      </w:r>
      <w:r w:rsidR="0038749C">
        <w:rPr>
          <w:rFonts w:ascii="Calibri" w:eastAsia="Times New Roman" w:hAnsi="Calibri" w:cs="Calibri"/>
          <w:i/>
          <w:iCs/>
          <w:lang w:val="en-GB"/>
        </w:rPr>
        <w:t>….I think would be obvious.</w:t>
      </w:r>
    </w:p>
    <w:p w14:paraId="59EDAD4C" w14:textId="0E1E22D1" w:rsidR="0038749C" w:rsidRDefault="0038749C" w:rsidP="00285939">
      <w:pPr>
        <w:tabs>
          <w:tab w:val="left" w:pos="709"/>
        </w:tabs>
        <w:spacing w:after="0" w:line="360" w:lineRule="auto"/>
        <w:ind w:left="709"/>
        <w:contextualSpacing/>
        <w:jc w:val="both"/>
        <w:rPr>
          <w:rFonts w:ascii="Calibri" w:eastAsia="Times New Roman" w:hAnsi="Calibri" w:cs="Calibri"/>
          <w:i/>
          <w:iCs/>
          <w:lang w:val="en-GB"/>
        </w:rPr>
      </w:pPr>
    </w:p>
    <w:p w14:paraId="352A561D" w14:textId="691BA56C" w:rsidR="0038749C" w:rsidRDefault="0038749C" w:rsidP="00285939">
      <w:pPr>
        <w:tabs>
          <w:tab w:val="left" w:pos="709"/>
        </w:tabs>
        <w:spacing w:after="0" w:line="360" w:lineRule="auto"/>
        <w:ind w:left="709"/>
        <w:contextualSpacing/>
        <w:jc w:val="both"/>
        <w:rPr>
          <w:rFonts w:ascii="Calibri" w:eastAsia="Times New Roman" w:hAnsi="Calibri" w:cs="Calibri"/>
          <w:i/>
          <w:iCs/>
          <w:lang w:val="en-GB"/>
        </w:rPr>
      </w:pPr>
      <w:r>
        <w:rPr>
          <w:rFonts w:ascii="Calibri" w:eastAsia="Times New Roman" w:hAnsi="Calibri" w:cs="Calibri"/>
          <w:i/>
          <w:iCs/>
          <w:lang w:val="en-GB"/>
        </w:rPr>
        <w:t>[18] A starting point of a term of imprisonment is always in the mind of the Court when dealing with cases such as this…</w:t>
      </w:r>
    </w:p>
    <w:p w14:paraId="1B64E97A" w14:textId="62B0902C" w:rsidR="00285939" w:rsidRDefault="008F22F9" w:rsidP="00E90419">
      <w:pPr>
        <w:tabs>
          <w:tab w:val="left" w:pos="709"/>
        </w:tabs>
        <w:spacing w:after="0" w:line="360" w:lineRule="auto"/>
        <w:ind w:left="709"/>
        <w:contextualSpacing/>
        <w:jc w:val="both"/>
        <w:rPr>
          <w:rFonts w:ascii="Calibri" w:eastAsia="Times New Roman" w:hAnsi="Calibri" w:cs="Calibri"/>
          <w:i/>
          <w:iCs/>
          <w:lang w:val="en-GB"/>
        </w:rPr>
      </w:pPr>
      <w:r>
        <w:rPr>
          <w:rFonts w:ascii="Calibri" w:eastAsia="Times New Roman" w:hAnsi="Calibri" w:cs="Calibri"/>
          <w:i/>
          <w:iCs/>
          <w:lang w:val="en-GB"/>
        </w:rPr>
        <w:t>…</w:t>
      </w:r>
    </w:p>
    <w:p w14:paraId="2A97C62C" w14:textId="0859C53C" w:rsidR="00E90419" w:rsidRDefault="00E90419" w:rsidP="00E90419">
      <w:pPr>
        <w:tabs>
          <w:tab w:val="left" w:pos="709"/>
        </w:tabs>
        <w:spacing w:after="0" w:line="360" w:lineRule="auto"/>
        <w:ind w:left="709"/>
        <w:contextualSpacing/>
        <w:jc w:val="both"/>
        <w:rPr>
          <w:rFonts w:ascii="Calibri" w:eastAsia="Times New Roman" w:hAnsi="Calibri" w:cs="Calibri"/>
          <w:i/>
          <w:iCs/>
          <w:lang w:val="en-GB"/>
        </w:rPr>
      </w:pPr>
      <w:r>
        <w:rPr>
          <w:rFonts w:ascii="Calibri" w:eastAsia="Times New Roman" w:hAnsi="Calibri" w:cs="Calibri"/>
          <w:i/>
          <w:iCs/>
          <w:lang w:val="en-GB"/>
        </w:rPr>
        <w:t>[36] You will, of course, have lost your position as a worker with Oranga Tamariki.</w:t>
      </w:r>
    </w:p>
    <w:p w14:paraId="26E99932" w14:textId="77777777" w:rsidR="00E90419" w:rsidRPr="00E90419" w:rsidRDefault="00E90419" w:rsidP="00E90419">
      <w:pPr>
        <w:tabs>
          <w:tab w:val="left" w:pos="709"/>
        </w:tabs>
        <w:spacing w:after="0" w:line="360" w:lineRule="auto"/>
        <w:ind w:left="709"/>
        <w:contextualSpacing/>
        <w:jc w:val="both"/>
        <w:rPr>
          <w:rFonts w:ascii="Calibri" w:eastAsia="Times New Roman" w:hAnsi="Calibri" w:cs="Calibri"/>
          <w:i/>
          <w:iCs/>
          <w:lang w:val="en-GB"/>
        </w:rPr>
      </w:pPr>
    </w:p>
    <w:p w14:paraId="0011F2E7" w14:textId="495EB06B" w:rsidR="00285939" w:rsidRDefault="00285939" w:rsidP="00285939">
      <w:pPr>
        <w:tabs>
          <w:tab w:val="left" w:pos="709"/>
        </w:tabs>
        <w:spacing w:after="0" w:line="360" w:lineRule="auto"/>
        <w:jc w:val="both"/>
        <w:rPr>
          <w:rFonts w:ascii="Calibri" w:eastAsia="Times New Roman" w:hAnsi="Calibri" w:cs="Calibri"/>
          <w:i/>
          <w:iCs/>
          <w:lang w:val="en-GB"/>
        </w:rPr>
      </w:pPr>
      <w:r w:rsidRPr="00285939">
        <w:rPr>
          <w:rFonts w:ascii="Calibri" w:eastAsia="Times New Roman" w:hAnsi="Calibri" w:cs="Calibri"/>
          <w:i/>
          <w:iCs/>
          <w:lang w:val="en-GB"/>
        </w:rPr>
        <w:tab/>
        <w:t>…..</w:t>
      </w:r>
      <w:r w:rsidR="0025685A">
        <w:rPr>
          <w:rFonts w:ascii="Calibri" w:eastAsia="Times New Roman" w:hAnsi="Calibri" w:cs="Calibri"/>
          <w:i/>
          <w:iCs/>
          <w:lang w:val="en-GB"/>
        </w:rPr>
        <w:t>”</w:t>
      </w:r>
    </w:p>
    <w:p w14:paraId="50A2DE06" w14:textId="77777777" w:rsidR="0025685A" w:rsidRPr="00285939" w:rsidRDefault="0025685A" w:rsidP="00285939">
      <w:pPr>
        <w:tabs>
          <w:tab w:val="left" w:pos="709"/>
        </w:tabs>
        <w:spacing w:after="0" w:line="360" w:lineRule="auto"/>
        <w:jc w:val="both"/>
        <w:rPr>
          <w:rFonts w:ascii="Calibri" w:eastAsia="Times New Roman" w:hAnsi="Calibri" w:cs="Calibri"/>
          <w:i/>
          <w:iCs/>
          <w:lang w:val="en-GB"/>
        </w:rPr>
      </w:pPr>
    </w:p>
    <w:p w14:paraId="5EF36DC4" w14:textId="15832AC4" w:rsidR="00285939" w:rsidRDefault="00285939" w:rsidP="00285939">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sidRPr="00285939">
        <w:rPr>
          <w:rFonts w:ascii="Calibri" w:eastAsia="Times New Roman" w:hAnsi="Calibri" w:cs="Calibri"/>
          <w:sz w:val="24"/>
          <w:szCs w:val="20"/>
          <w:lang w:val="en-GB"/>
        </w:rPr>
        <w:t xml:space="preserve">The Tribunal is of the view that when it is considered objectively, </w:t>
      </w:r>
      <w:r w:rsidR="00402CAE">
        <w:rPr>
          <w:rFonts w:ascii="Calibri" w:eastAsia="Times New Roman" w:hAnsi="Calibri" w:cs="Calibri"/>
          <w:sz w:val="24"/>
          <w:szCs w:val="20"/>
          <w:lang w:val="en-GB"/>
        </w:rPr>
        <w:t>the practitioner’s</w:t>
      </w:r>
      <w:r w:rsidRPr="00285939">
        <w:rPr>
          <w:rFonts w:ascii="Calibri" w:eastAsia="Times New Roman" w:hAnsi="Calibri" w:cs="Calibri"/>
          <w:sz w:val="24"/>
          <w:szCs w:val="20"/>
          <w:lang w:val="en-GB"/>
        </w:rPr>
        <w:t xml:space="preserve"> conduct reflects adversely on h</w:t>
      </w:r>
      <w:r w:rsidR="00402CAE">
        <w:rPr>
          <w:rFonts w:ascii="Calibri" w:eastAsia="Times New Roman" w:hAnsi="Calibri" w:cs="Calibri"/>
          <w:sz w:val="24"/>
          <w:szCs w:val="20"/>
          <w:lang w:val="en-GB"/>
        </w:rPr>
        <w:t>er</w:t>
      </w:r>
      <w:r w:rsidRPr="00285939">
        <w:rPr>
          <w:rFonts w:ascii="Calibri" w:eastAsia="Times New Roman" w:hAnsi="Calibri" w:cs="Calibri"/>
          <w:sz w:val="24"/>
          <w:szCs w:val="20"/>
          <w:lang w:val="en-GB"/>
        </w:rPr>
        <w:t xml:space="preserve"> ability to discharge the ethical and professional obligations towards clients in h</w:t>
      </w:r>
      <w:r w:rsidR="00402CAE">
        <w:rPr>
          <w:rFonts w:ascii="Calibri" w:eastAsia="Times New Roman" w:hAnsi="Calibri" w:cs="Calibri"/>
          <w:sz w:val="24"/>
          <w:szCs w:val="20"/>
          <w:lang w:val="en-GB"/>
        </w:rPr>
        <w:t>er</w:t>
      </w:r>
      <w:r w:rsidRPr="00285939">
        <w:rPr>
          <w:rFonts w:ascii="Calibri" w:eastAsia="Times New Roman" w:hAnsi="Calibri" w:cs="Calibri"/>
          <w:sz w:val="24"/>
          <w:szCs w:val="20"/>
          <w:lang w:val="en-GB"/>
        </w:rPr>
        <w:t xml:space="preserve"> professional capacity as a social worker.</w:t>
      </w:r>
    </w:p>
    <w:p w14:paraId="640C5E6B" w14:textId="0B904C53" w:rsidR="00F74EAA" w:rsidRPr="00BE7C31" w:rsidRDefault="00F74EAA" w:rsidP="00BE7C31">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Pr>
          <w:rFonts w:ascii="Calibri" w:eastAsia="Times New Roman" w:hAnsi="Calibri" w:cs="Calibri"/>
          <w:sz w:val="24"/>
          <w:szCs w:val="20"/>
          <w:lang w:val="en-GB"/>
        </w:rPr>
        <w:t xml:space="preserve">As was said by the Tribunal in </w:t>
      </w:r>
      <w:r>
        <w:rPr>
          <w:rFonts w:ascii="Calibri" w:eastAsia="Times New Roman" w:hAnsi="Calibri" w:cs="Calibri"/>
          <w:i/>
          <w:iCs/>
          <w:sz w:val="24"/>
          <w:szCs w:val="20"/>
          <w:lang w:val="en-GB"/>
        </w:rPr>
        <w:t xml:space="preserve">RSW Lumsden </w:t>
      </w:r>
      <w:r>
        <w:rPr>
          <w:rFonts w:ascii="Calibri" w:eastAsia="Times New Roman" w:hAnsi="Calibri" w:cs="Calibri"/>
          <w:sz w:val="24"/>
          <w:szCs w:val="20"/>
          <w:lang w:val="en-GB"/>
        </w:rPr>
        <w:t>a</w:t>
      </w:r>
      <w:r w:rsidRPr="00285939">
        <w:rPr>
          <w:rFonts w:ascii="Calibri" w:eastAsia="Times New Roman" w:hAnsi="Calibri" w:cs="Calibri"/>
          <w:sz w:val="24"/>
          <w:szCs w:val="20"/>
          <w:lang w:val="en-GB"/>
        </w:rPr>
        <w:t xml:space="preserve"> social worker works with people, many of whom are vulnerable and carry significant health and social issues. They often work in unsupervised settings. There is a significant trust placed by clients in the social worker that they will be properly cared for and their interests promoted to the extent necessary for their current needs. They trust the social worker to do what is right for them and they follow the advice given to them or recommendations made in respect of them. That means that the social worker must show self-restraint in his or her own life, and in how they </w:t>
      </w:r>
      <w:r w:rsidR="00676EF7">
        <w:rPr>
          <w:rFonts w:ascii="Calibri" w:eastAsia="Times New Roman" w:hAnsi="Calibri" w:cs="Calibri"/>
          <w:sz w:val="24"/>
          <w:szCs w:val="20"/>
          <w:lang w:val="en-GB"/>
        </w:rPr>
        <w:t xml:space="preserve">interact </w:t>
      </w:r>
      <w:r w:rsidR="00475AF6">
        <w:rPr>
          <w:rFonts w:ascii="Calibri" w:eastAsia="Times New Roman" w:hAnsi="Calibri" w:cs="Calibri"/>
          <w:sz w:val="24"/>
          <w:szCs w:val="20"/>
          <w:lang w:val="en-GB"/>
        </w:rPr>
        <w:t xml:space="preserve">with </w:t>
      </w:r>
      <w:r w:rsidR="00676EF7">
        <w:rPr>
          <w:rFonts w:ascii="Calibri" w:eastAsia="Times New Roman" w:hAnsi="Calibri" w:cs="Calibri"/>
          <w:sz w:val="24"/>
          <w:szCs w:val="20"/>
          <w:lang w:val="en-GB"/>
        </w:rPr>
        <w:t>and treat</w:t>
      </w:r>
      <w:r w:rsidRPr="00285939">
        <w:rPr>
          <w:rFonts w:ascii="Calibri" w:eastAsia="Times New Roman" w:hAnsi="Calibri" w:cs="Calibri"/>
          <w:sz w:val="24"/>
          <w:szCs w:val="20"/>
          <w:lang w:val="en-GB"/>
        </w:rPr>
        <w:t xml:space="preserve"> people</w:t>
      </w:r>
      <w:r w:rsidR="00A52AC3">
        <w:rPr>
          <w:rFonts w:ascii="Calibri" w:eastAsia="Times New Roman" w:hAnsi="Calibri" w:cs="Calibri"/>
          <w:sz w:val="24"/>
          <w:szCs w:val="20"/>
          <w:lang w:val="en-GB"/>
        </w:rPr>
        <w:t>, especially clients</w:t>
      </w:r>
      <w:r w:rsidRPr="00285939">
        <w:rPr>
          <w:rFonts w:ascii="Calibri" w:eastAsia="Times New Roman" w:hAnsi="Calibri" w:cs="Calibri"/>
          <w:sz w:val="24"/>
          <w:szCs w:val="20"/>
          <w:lang w:val="en-GB"/>
        </w:rPr>
        <w:t xml:space="preserve">. That also means that they must show self-restraint in how they deal with </w:t>
      </w:r>
      <w:r w:rsidR="00676EF7">
        <w:rPr>
          <w:rFonts w:ascii="Calibri" w:eastAsia="Times New Roman" w:hAnsi="Calibri" w:cs="Calibri"/>
          <w:sz w:val="24"/>
          <w:szCs w:val="20"/>
          <w:lang w:val="en-GB"/>
        </w:rPr>
        <w:t>illegal drugs like cannabis</w:t>
      </w:r>
      <w:r w:rsidRPr="00285939">
        <w:rPr>
          <w:rFonts w:ascii="Calibri" w:eastAsia="Times New Roman" w:hAnsi="Calibri" w:cs="Calibri"/>
          <w:sz w:val="24"/>
          <w:szCs w:val="20"/>
          <w:lang w:val="en-GB"/>
        </w:rPr>
        <w:t>. That is especially so because people with whom they may be working (clients) may themselves be struggling with addictions and/or issues relating to their exposure to drugs lik</w:t>
      </w:r>
      <w:r w:rsidR="00BE7C31">
        <w:rPr>
          <w:rFonts w:ascii="Calibri" w:eastAsia="Times New Roman" w:hAnsi="Calibri" w:cs="Calibri"/>
          <w:sz w:val="24"/>
          <w:szCs w:val="20"/>
          <w:lang w:val="en-GB"/>
        </w:rPr>
        <w:t>e cannabis, and alcohol,</w:t>
      </w:r>
      <w:r w:rsidRPr="00285939">
        <w:rPr>
          <w:rFonts w:ascii="Calibri" w:eastAsia="Times New Roman" w:hAnsi="Calibri" w:cs="Calibri"/>
          <w:sz w:val="24"/>
          <w:szCs w:val="20"/>
          <w:lang w:val="en-GB"/>
        </w:rPr>
        <w:t xml:space="preserve"> in their personal and/or family lives.</w:t>
      </w:r>
      <w:r w:rsidR="00A52AC3" w:rsidRPr="00A52AC3">
        <w:rPr>
          <w:rFonts w:ascii="Calibri" w:eastAsia="Times New Roman" w:hAnsi="Calibri" w:cs="Calibri"/>
          <w:sz w:val="24"/>
          <w:szCs w:val="20"/>
          <w:lang w:val="en-GB"/>
        </w:rPr>
        <w:t xml:space="preserve"> </w:t>
      </w:r>
      <w:r w:rsidR="00A52AC3">
        <w:rPr>
          <w:rFonts w:ascii="Calibri" w:eastAsia="Times New Roman" w:hAnsi="Calibri" w:cs="Calibri"/>
          <w:sz w:val="24"/>
          <w:szCs w:val="20"/>
          <w:lang w:val="en-GB"/>
        </w:rPr>
        <w:t xml:space="preserve">A social worker must always </w:t>
      </w:r>
      <w:r w:rsidR="00A52AC3">
        <w:rPr>
          <w:rFonts w:ascii="Calibri" w:eastAsia="Times New Roman" w:hAnsi="Calibri" w:cs="Calibri"/>
          <w:sz w:val="24"/>
          <w:szCs w:val="20"/>
          <w:lang w:val="en-GB"/>
        </w:rPr>
        <w:lastRenderedPageBreak/>
        <w:t>also demonstrate that they act in accordance with the law w</w:t>
      </w:r>
      <w:r w:rsidR="006C3E4B">
        <w:rPr>
          <w:rFonts w:ascii="Calibri" w:eastAsia="Times New Roman" w:hAnsi="Calibri" w:cs="Calibri"/>
          <w:sz w:val="24"/>
          <w:szCs w:val="20"/>
          <w:lang w:val="en-GB"/>
        </w:rPr>
        <w:t>hich includes being honest and assisting authorities with the investigation of</w:t>
      </w:r>
      <w:r w:rsidR="00A52AC3">
        <w:rPr>
          <w:rFonts w:ascii="Calibri" w:eastAsia="Times New Roman" w:hAnsi="Calibri" w:cs="Calibri"/>
          <w:sz w:val="24"/>
          <w:szCs w:val="20"/>
          <w:lang w:val="en-GB"/>
        </w:rPr>
        <w:t xml:space="preserve"> </w:t>
      </w:r>
      <w:r w:rsidR="005C7DE8">
        <w:rPr>
          <w:rFonts w:ascii="Calibri" w:eastAsia="Times New Roman" w:hAnsi="Calibri" w:cs="Calibri"/>
          <w:sz w:val="24"/>
          <w:szCs w:val="20"/>
          <w:lang w:val="en-GB"/>
        </w:rPr>
        <w:t xml:space="preserve">suspected or alleged </w:t>
      </w:r>
      <w:r w:rsidR="00475E36">
        <w:rPr>
          <w:rFonts w:ascii="Calibri" w:eastAsia="Times New Roman" w:hAnsi="Calibri" w:cs="Calibri"/>
          <w:sz w:val="24"/>
          <w:szCs w:val="20"/>
          <w:lang w:val="en-GB"/>
        </w:rPr>
        <w:t>offending</w:t>
      </w:r>
      <w:r w:rsidR="007D0BAB">
        <w:rPr>
          <w:rFonts w:ascii="Calibri" w:eastAsia="Times New Roman" w:hAnsi="Calibri" w:cs="Calibri"/>
          <w:sz w:val="24"/>
          <w:szCs w:val="20"/>
          <w:lang w:val="en-GB"/>
        </w:rPr>
        <w:t>, as and when appropriate</w:t>
      </w:r>
      <w:r w:rsidR="00A52AC3">
        <w:rPr>
          <w:rFonts w:ascii="Calibri" w:eastAsia="Times New Roman" w:hAnsi="Calibri" w:cs="Calibri"/>
          <w:sz w:val="24"/>
          <w:szCs w:val="20"/>
          <w:lang w:val="en-GB"/>
        </w:rPr>
        <w:t>.</w:t>
      </w:r>
    </w:p>
    <w:p w14:paraId="3BC6E18E" w14:textId="25F6034F" w:rsidR="00285939" w:rsidRPr="00285939" w:rsidRDefault="00285939" w:rsidP="00285939">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sidRPr="00285939">
        <w:rPr>
          <w:rFonts w:ascii="Calibri" w:eastAsia="Times New Roman" w:hAnsi="Calibri" w:cs="Calibri"/>
          <w:sz w:val="24"/>
          <w:szCs w:val="20"/>
          <w:lang w:val="en-GB"/>
        </w:rPr>
        <w:t xml:space="preserve">The Tribunal considers that </w:t>
      </w:r>
      <w:r w:rsidR="007F7F9E">
        <w:rPr>
          <w:rFonts w:ascii="Calibri" w:eastAsia="Times New Roman" w:hAnsi="Calibri" w:cs="Calibri"/>
          <w:sz w:val="24"/>
          <w:szCs w:val="20"/>
          <w:lang w:val="en-GB"/>
        </w:rPr>
        <w:t>the practitioner</w:t>
      </w:r>
      <w:r w:rsidR="00475E36">
        <w:rPr>
          <w:rFonts w:ascii="Calibri" w:eastAsia="Times New Roman" w:hAnsi="Calibri" w:cs="Calibri"/>
          <w:sz w:val="24"/>
          <w:szCs w:val="20"/>
          <w:lang w:val="en-GB"/>
        </w:rPr>
        <w:t>’</w:t>
      </w:r>
      <w:r w:rsidR="007F7F9E">
        <w:rPr>
          <w:rFonts w:ascii="Calibri" w:eastAsia="Times New Roman" w:hAnsi="Calibri" w:cs="Calibri"/>
          <w:sz w:val="24"/>
          <w:szCs w:val="20"/>
          <w:lang w:val="en-GB"/>
        </w:rPr>
        <w:t>s</w:t>
      </w:r>
      <w:r w:rsidRPr="00285939">
        <w:rPr>
          <w:rFonts w:ascii="Calibri" w:eastAsia="Times New Roman" w:hAnsi="Calibri" w:cs="Calibri"/>
          <w:sz w:val="24"/>
          <w:szCs w:val="20"/>
          <w:lang w:val="en-GB"/>
        </w:rPr>
        <w:t xml:space="preserve"> conduct which resulted in the convictions</w:t>
      </w:r>
      <w:r w:rsidR="003055C1">
        <w:rPr>
          <w:rFonts w:ascii="Calibri" w:eastAsia="Times New Roman" w:hAnsi="Calibri" w:cs="Calibri"/>
          <w:sz w:val="24"/>
          <w:szCs w:val="20"/>
          <w:lang w:val="en-GB"/>
        </w:rPr>
        <w:t xml:space="preserve"> that have been entered against her, when the convictions are considered individually and then together,</w:t>
      </w:r>
      <w:r w:rsidR="003F00CD">
        <w:rPr>
          <w:rFonts w:ascii="Calibri" w:eastAsia="Times New Roman" w:hAnsi="Calibri" w:cs="Calibri"/>
          <w:sz w:val="24"/>
          <w:szCs w:val="20"/>
          <w:lang w:val="en-GB"/>
        </w:rPr>
        <w:t xml:space="preserve"> is</w:t>
      </w:r>
      <w:r w:rsidRPr="00285939">
        <w:rPr>
          <w:rFonts w:ascii="Calibri" w:eastAsia="Times New Roman" w:hAnsi="Calibri" w:cs="Calibri"/>
          <w:sz w:val="24"/>
          <w:szCs w:val="20"/>
          <w:lang w:val="en-GB"/>
        </w:rPr>
        <w:t xml:space="preserve"> at the most serious end of the spectrum in terms of misconduct which reflects adversely on h</w:t>
      </w:r>
      <w:r w:rsidR="001379DA">
        <w:rPr>
          <w:rFonts w:ascii="Calibri" w:eastAsia="Times New Roman" w:hAnsi="Calibri" w:cs="Calibri"/>
          <w:sz w:val="24"/>
          <w:szCs w:val="20"/>
          <w:lang w:val="en-GB"/>
        </w:rPr>
        <w:t xml:space="preserve">er </w:t>
      </w:r>
      <w:r w:rsidRPr="00285939">
        <w:rPr>
          <w:rFonts w:ascii="Calibri" w:eastAsia="Times New Roman" w:hAnsi="Calibri" w:cs="Calibri"/>
          <w:sz w:val="24"/>
          <w:szCs w:val="20"/>
          <w:lang w:val="en-GB"/>
        </w:rPr>
        <w:t xml:space="preserve">fitness to practise as a social worker. </w:t>
      </w:r>
    </w:p>
    <w:p w14:paraId="57C7C6E5" w14:textId="0555009C" w:rsidR="00285939" w:rsidRDefault="00285939" w:rsidP="00285939">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sidRPr="00285939">
        <w:rPr>
          <w:rFonts w:ascii="Calibri" w:eastAsia="Times New Roman" w:hAnsi="Calibri" w:cs="Calibri"/>
          <w:sz w:val="24"/>
          <w:szCs w:val="20"/>
          <w:lang w:val="en-GB"/>
        </w:rPr>
        <w:t>For those reasons, the Tribunal had no difficulty in finding the Charge established</w:t>
      </w:r>
      <w:r w:rsidR="002568F7">
        <w:rPr>
          <w:rFonts w:ascii="Calibri" w:eastAsia="Times New Roman" w:hAnsi="Calibri" w:cs="Calibri"/>
          <w:sz w:val="24"/>
          <w:szCs w:val="20"/>
          <w:lang w:val="en-GB"/>
        </w:rPr>
        <w:t xml:space="preserve"> as it was brought under section 82(1)(c)</w:t>
      </w:r>
      <w:r w:rsidRPr="00285939">
        <w:rPr>
          <w:rFonts w:ascii="Calibri" w:eastAsia="Times New Roman" w:hAnsi="Calibri" w:cs="Calibri"/>
          <w:sz w:val="24"/>
          <w:szCs w:val="20"/>
          <w:lang w:val="en-GB"/>
        </w:rPr>
        <w:t>.</w:t>
      </w:r>
    </w:p>
    <w:p w14:paraId="29051772" w14:textId="0617C2FC" w:rsidR="002568F7" w:rsidRDefault="00EF27A6" w:rsidP="00285939">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Pr>
          <w:rFonts w:ascii="Calibri" w:eastAsia="Times New Roman" w:hAnsi="Calibri" w:cs="Calibri"/>
          <w:sz w:val="24"/>
          <w:szCs w:val="20"/>
          <w:lang w:val="en-GB"/>
        </w:rPr>
        <w:t>As above, the conduct was also alleged to amount to professional misconduct under section 81(1)(a). The Tribunal needs only to say that it was satisfied that when the practitioner’s acts are considered objectively against the expected standards correctly identified by the PCC, the conduct was a marked departure from those standard</w:t>
      </w:r>
      <w:r w:rsidR="00726FF8">
        <w:rPr>
          <w:rFonts w:ascii="Calibri" w:eastAsia="Times New Roman" w:hAnsi="Calibri" w:cs="Calibri"/>
          <w:sz w:val="24"/>
          <w:szCs w:val="20"/>
          <w:lang w:val="en-GB"/>
        </w:rPr>
        <w:t xml:space="preserve">s </w:t>
      </w:r>
      <w:r>
        <w:rPr>
          <w:rFonts w:ascii="Calibri" w:eastAsia="Times New Roman" w:hAnsi="Calibri" w:cs="Calibri"/>
          <w:sz w:val="24"/>
          <w:szCs w:val="20"/>
          <w:lang w:val="en-GB"/>
        </w:rPr>
        <w:t>and without doubt bring</w:t>
      </w:r>
      <w:r w:rsidR="00161302">
        <w:rPr>
          <w:rFonts w:ascii="Calibri" w:eastAsia="Times New Roman" w:hAnsi="Calibri" w:cs="Calibri"/>
          <w:sz w:val="24"/>
          <w:szCs w:val="20"/>
          <w:lang w:val="en-GB"/>
        </w:rPr>
        <w:t>s</w:t>
      </w:r>
      <w:r w:rsidR="00E50CAE">
        <w:rPr>
          <w:rFonts w:ascii="Calibri" w:eastAsia="Times New Roman" w:hAnsi="Calibri" w:cs="Calibri"/>
          <w:sz w:val="24"/>
          <w:szCs w:val="20"/>
          <w:lang w:val="en-GB"/>
        </w:rPr>
        <w:t xml:space="preserve"> discredit to the social work profession</w:t>
      </w:r>
      <w:r w:rsidR="00E50CAE">
        <w:rPr>
          <w:rStyle w:val="FootnoteReference"/>
          <w:rFonts w:ascii="Calibri" w:eastAsia="Times New Roman" w:hAnsi="Calibri" w:cs="Calibri"/>
          <w:sz w:val="24"/>
          <w:szCs w:val="20"/>
          <w:lang w:val="en-GB"/>
        </w:rPr>
        <w:footnoteReference w:id="24"/>
      </w:r>
      <w:r>
        <w:rPr>
          <w:rFonts w:ascii="Calibri" w:eastAsia="Times New Roman" w:hAnsi="Calibri" w:cs="Calibri"/>
          <w:sz w:val="24"/>
          <w:szCs w:val="20"/>
          <w:lang w:val="en-GB"/>
        </w:rPr>
        <w:t xml:space="preserve">. </w:t>
      </w:r>
      <w:r w:rsidR="00726FF8">
        <w:rPr>
          <w:rFonts w:ascii="Calibri" w:eastAsia="Times New Roman" w:hAnsi="Calibri" w:cs="Calibri"/>
          <w:sz w:val="24"/>
          <w:szCs w:val="20"/>
          <w:lang w:val="en-GB"/>
        </w:rPr>
        <w:t>T</w:t>
      </w:r>
      <w:r w:rsidR="00F865B2">
        <w:rPr>
          <w:rFonts w:ascii="Calibri" w:eastAsia="Times New Roman" w:hAnsi="Calibri" w:cs="Calibri"/>
          <w:sz w:val="24"/>
          <w:szCs w:val="20"/>
          <w:lang w:val="en-GB"/>
        </w:rPr>
        <w:t xml:space="preserve">he conduct is </w:t>
      </w:r>
      <w:r w:rsidR="00726FF8">
        <w:rPr>
          <w:rFonts w:ascii="Calibri" w:eastAsia="Times New Roman" w:hAnsi="Calibri" w:cs="Calibri"/>
          <w:sz w:val="24"/>
          <w:szCs w:val="20"/>
          <w:lang w:val="en-GB"/>
        </w:rPr>
        <w:t xml:space="preserve">most certainly </w:t>
      </w:r>
      <w:r w:rsidR="00F865B2">
        <w:rPr>
          <w:rFonts w:ascii="Calibri" w:eastAsia="Times New Roman" w:hAnsi="Calibri" w:cs="Calibri"/>
          <w:sz w:val="24"/>
          <w:szCs w:val="20"/>
          <w:lang w:val="en-GB"/>
        </w:rPr>
        <w:t>sufficiently serious to warrant disciplinary sanction for the purposes of protecting the safety of the public and maintaining the standard</w:t>
      </w:r>
      <w:r w:rsidR="00726FF8">
        <w:rPr>
          <w:rFonts w:ascii="Calibri" w:eastAsia="Times New Roman" w:hAnsi="Calibri" w:cs="Calibri"/>
          <w:sz w:val="24"/>
          <w:szCs w:val="20"/>
          <w:lang w:val="en-GB"/>
        </w:rPr>
        <w:t>s</w:t>
      </w:r>
      <w:r w:rsidR="00F865B2">
        <w:rPr>
          <w:rFonts w:ascii="Calibri" w:eastAsia="Times New Roman" w:hAnsi="Calibri" w:cs="Calibri"/>
          <w:sz w:val="24"/>
          <w:szCs w:val="20"/>
          <w:lang w:val="en-GB"/>
        </w:rPr>
        <w:t xml:space="preserve"> of the social work profession.</w:t>
      </w:r>
    </w:p>
    <w:p w14:paraId="45D2721E" w14:textId="42664479" w:rsidR="00344693" w:rsidRDefault="00537456" w:rsidP="00B03337">
      <w:pPr>
        <w:numPr>
          <w:ilvl w:val="0"/>
          <w:numId w:val="1"/>
        </w:numPr>
        <w:tabs>
          <w:tab w:val="left" w:pos="709"/>
        </w:tabs>
        <w:spacing w:after="0" w:line="360" w:lineRule="auto"/>
        <w:ind w:left="567" w:hanging="567"/>
        <w:contextualSpacing/>
        <w:jc w:val="both"/>
        <w:rPr>
          <w:rFonts w:ascii="Calibri" w:eastAsia="Times" w:hAnsi="Calibri" w:cs="Calibri"/>
          <w:bCs/>
          <w:sz w:val="24"/>
          <w:szCs w:val="24"/>
          <w:lang w:val="en-AU"/>
        </w:rPr>
      </w:pPr>
      <w:r>
        <w:rPr>
          <w:rFonts w:ascii="Calibri" w:eastAsia="Times" w:hAnsi="Calibri" w:cs="Calibri"/>
          <w:bCs/>
          <w:sz w:val="24"/>
          <w:szCs w:val="24"/>
          <w:lang w:val="en-AU"/>
        </w:rPr>
        <w:t xml:space="preserve">The Tribunal notes that at the hearing the Chairperson </w:t>
      </w:r>
      <w:r w:rsidR="003909BB">
        <w:rPr>
          <w:rFonts w:ascii="Calibri" w:eastAsia="Times" w:hAnsi="Calibri" w:cs="Calibri"/>
          <w:bCs/>
          <w:sz w:val="24"/>
          <w:szCs w:val="24"/>
          <w:lang w:val="en-AU"/>
        </w:rPr>
        <w:t>raised with</w:t>
      </w:r>
      <w:r>
        <w:rPr>
          <w:rFonts w:ascii="Calibri" w:eastAsia="Times" w:hAnsi="Calibri" w:cs="Calibri"/>
          <w:bCs/>
          <w:sz w:val="24"/>
          <w:szCs w:val="24"/>
          <w:lang w:val="en-AU"/>
        </w:rPr>
        <w:t xml:space="preserve"> Counsel for the </w:t>
      </w:r>
      <w:r w:rsidR="00346BFC">
        <w:rPr>
          <w:rFonts w:ascii="Calibri" w:eastAsia="Times" w:hAnsi="Calibri" w:cs="Calibri"/>
          <w:bCs/>
          <w:sz w:val="24"/>
          <w:szCs w:val="24"/>
          <w:lang w:val="en-AU"/>
        </w:rPr>
        <w:t>PCC</w:t>
      </w:r>
      <w:r>
        <w:rPr>
          <w:rFonts w:ascii="Calibri" w:eastAsia="Times" w:hAnsi="Calibri" w:cs="Calibri"/>
          <w:bCs/>
          <w:sz w:val="24"/>
          <w:szCs w:val="24"/>
          <w:lang w:val="en-AU"/>
        </w:rPr>
        <w:t xml:space="preserve"> </w:t>
      </w:r>
      <w:r w:rsidR="003909BB">
        <w:rPr>
          <w:rFonts w:ascii="Calibri" w:eastAsia="Times" w:hAnsi="Calibri" w:cs="Calibri"/>
          <w:bCs/>
          <w:sz w:val="24"/>
          <w:szCs w:val="24"/>
          <w:lang w:val="en-AU"/>
        </w:rPr>
        <w:t xml:space="preserve">the issue of </w:t>
      </w:r>
      <w:r>
        <w:rPr>
          <w:rFonts w:ascii="Calibri" w:eastAsia="Times" w:hAnsi="Calibri" w:cs="Calibri"/>
          <w:bCs/>
          <w:sz w:val="24"/>
          <w:szCs w:val="24"/>
          <w:lang w:val="en-AU"/>
        </w:rPr>
        <w:t xml:space="preserve">whether </w:t>
      </w:r>
      <w:r w:rsidR="003909BB">
        <w:rPr>
          <w:rFonts w:ascii="Calibri" w:eastAsia="Times" w:hAnsi="Calibri" w:cs="Calibri"/>
          <w:bCs/>
          <w:sz w:val="24"/>
          <w:szCs w:val="24"/>
          <w:lang w:val="en-AU"/>
        </w:rPr>
        <w:t>the Tribunal</w:t>
      </w:r>
      <w:r>
        <w:rPr>
          <w:rFonts w:ascii="Calibri" w:eastAsia="Times" w:hAnsi="Calibri" w:cs="Calibri"/>
          <w:bCs/>
          <w:sz w:val="24"/>
          <w:szCs w:val="24"/>
          <w:lang w:val="en-AU"/>
        </w:rPr>
        <w:t xml:space="preserve"> ha</w:t>
      </w:r>
      <w:r w:rsidR="00346BFC">
        <w:rPr>
          <w:rFonts w:ascii="Calibri" w:eastAsia="Times" w:hAnsi="Calibri" w:cs="Calibri"/>
          <w:bCs/>
          <w:sz w:val="24"/>
          <w:szCs w:val="24"/>
          <w:lang w:val="en-AU"/>
        </w:rPr>
        <w:t>d</w:t>
      </w:r>
      <w:r>
        <w:rPr>
          <w:rFonts w:ascii="Calibri" w:eastAsia="Times" w:hAnsi="Calibri" w:cs="Calibri"/>
          <w:bCs/>
          <w:sz w:val="24"/>
          <w:szCs w:val="24"/>
          <w:lang w:val="en-AU"/>
        </w:rPr>
        <w:t xml:space="preserve"> jurisdiction</w:t>
      </w:r>
      <w:r w:rsidR="00323E47">
        <w:rPr>
          <w:rFonts w:ascii="Calibri" w:eastAsia="Times" w:hAnsi="Calibri" w:cs="Calibri"/>
          <w:bCs/>
          <w:sz w:val="24"/>
          <w:szCs w:val="24"/>
          <w:lang w:val="en-AU"/>
        </w:rPr>
        <w:t xml:space="preserve"> to make a finding of professional mis</w:t>
      </w:r>
      <w:r>
        <w:rPr>
          <w:rFonts w:ascii="Calibri" w:eastAsia="Times" w:hAnsi="Calibri" w:cs="Calibri"/>
          <w:bCs/>
          <w:sz w:val="24"/>
          <w:szCs w:val="24"/>
          <w:lang w:val="en-AU"/>
        </w:rPr>
        <w:t>conduct</w:t>
      </w:r>
      <w:r w:rsidR="00D122BD">
        <w:rPr>
          <w:rFonts w:ascii="Calibri" w:eastAsia="Times" w:hAnsi="Calibri" w:cs="Calibri"/>
          <w:bCs/>
          <w:sz w:val="24"/>
          <w:szCs w:val="24"/>
          <w:lang w:val="en-AU"/>
        </w:rPr>
        <w:t xml:space="preserve"> against</w:t>
      </w:r>
      <w:r w:rsidR="00346BFC">
        <w:rPr>
          <w:rFonts w:ascii="Calibri" w:eastAsia="Times" w:hAnsi="Calibri" w:cs="Calibri"/>
          <w:bCs/>
          <w:sz w:val="24"/>
          <w:szCs w:val="24"/>
          <w:lang w:val="en-AU"/>
        </w:rPr>
        <w:t xml:space="preserve"> </w:t>
      </w:r>
      <w:r w:rsidR="0090512B">
        <w:rPr>
          <w:rFonts w:ascii="Calibri" w:eastAsia="Times" w:hAnsi="Calibri" w:cs="Calibri"/>
          <w:bCs/>
          <w:sz w:val="24"/>
          <w:szCs w:val="24"/>
          <w:lang w:val="en-AU"/>
        </w:rPr>
        <w:t>the practitioner</w:t>
      </w:r>
      <w:r>
        <w:rPr>
          <w:rFonts w:ascii="Calibri" w:eastAsia="Times" w:hAnsi="Calibri" w:cs="Calibri"/>
          <w:bCs/>
          <w:sz w:val="24"/>
          <w:szCs w:val="24"/>
          <w:lang w:val="en-AU"/>
        </w:rPr>
        <w:t xml:space="preserve"> </w:t>
      </w:r>
      <w:r w:rsidR="00323E47">
        <w:rPr>
          <w:rFonts w:ascii="Calibri" w:eastAsia="Times" w:hAnsi="Calibri" w:cs="Calibri"/>
          <w:bCs/>
          <w:sz w:val="24"/>
          <w:szCs w:val="24"/>
          <w:lang w:val="en-AU"/>
        </w:rPr>
        <w:t xml:space="preserve">in respect of </w:t>
      </w:r>
      <w:r w:rsidR="0090512B">
        <w:rPr>
          <w:rFonts w:ascii="Calibri" w:eastAsia="Times" w:hAnsi="Calibri" w:cs="Calibri"/>
          <w:bCs/>
          <w:sz w:val="24"/>
          <w:szCs w:val="24"/>
          <w:lang w:val="en-AU"/>
        </w:rPr>
        <w:t>the</w:t>
      </w:r>
      <w:r w:rsidR="00323E47">
        <w:rPr>
          <w:rFonts w:ascii="Calibri" w:eastAsia="Times" w:hAnsi="Calibri" w:cs="Calibri"/>
          <w:bCs/>
          <w:sz w:val="24"/>
          <w:szCs w:val="24"/>
          <w:lang w:val="en-AU"/>
        </w:rPr>
        <w:t xml:space="preserve"> conduct </w:t>
      </w:r>
      <w:r>
        <w:rPr>
          <w:rFonts w:ascii="Calibri" w:eastAsia="Times" w:hAnsi="Calibri" w:cs="Calibri"/>
          <w:bCs/>
          <w:sz w:val="24"/>
          <w:szCs w:val="24"/>
          <w:lang w:val="en-AU"/>
        </w:rPr>
        <w:t xml:space="preserve">that occurred prior to </w:t>
      </w:r>
      <w:r w:rsidR="0090512B">
        <w:rPr>
          <w:rFonts w:ascii="Calibri" w:eastAsia="Times" w:hAnsi="Calibri" w:cs="Calibri"/>
          <w:bCs/>
          <w:sz w:val="24"/>
          <w:szCs w:val="24"/>
          <w:lang w:val="en-AU"/>
        </w:rPr>
        <w:t xml:space="preserve">her </w:t>
      </w:r>
      <w:r w:rsidR="00344693">
        <w:rPr>
          <w:rFonts w:ascii="Calibri" w:eastAsia="Times" w:hAnsi="Calibri" w:cs="Calibri"/>
          <w:bCs/>
          <w:sz w:val="24"/>
          <w:szCs w:val="24"/>
          <w:lang w:val="en-AU"/>
        </w:rPr>
        <w:t>registration, which was</w:t>
      </w:r>
      <w:r>
        <w:rPr>
          <w:rFonts w:ascii="Calibri" w:eastAsia="Times" w:hAnsi="Calibri" w:cs="Calibri"/>
          <w:bCs/>
          <w:sz w:val="24"/>
          <w:szCs w:val="24"/>
          <w:lang w:val="en-AU"/>
        </w:rPr>
        <w:t xml:space="preserve"> </w:t>
      </w:r>
      <w:r w:rsidR="0090512B">
        <w:rPr>
          <w:rFonts w:ascii="Calibri" w:eastAsia="Times" w:hAnsi="Calibri" w:cs="Calibri"/>
          <w:bCs/>
          <w:sz w:val="24"/>
          <w:szCs w:val="24"/>
          <w:lang w:val="en-AU"/>
        </w:rPr>
        <w:t>on 16 August</w:t>
      </w:r>
      <w:r>
        <w:rPr>
          <w:rFonts w:ascii="Calibri" w:eastAsia="Times" w:hAnsi="Calibri" w:cs="Calibri"/>
          <w:bCs/>
          <w:sz w:val="24"/>
          <w:szCs w:val="24"/>
          <w:lang w:val="en-AU"/>
        </w:rPr>
        <w:t xml:space="preserve"> 2018. </w:t>
      </w:r>
      <w:r w:rsidR="00DF5702">
        <w:rPr>
          <w:rFonts w:ascii="Calibri" w:eastAsia="Times" w:hAnsi="Calibri" w:cs="Calibri"/>
          <w:bCs/>
          <w:sz w:val="24"/>
          <w:szCs w:val="24"/>
          <w:lang w:val="en-AU"/>
        </w:rPr>
        <w:t>Counsel submitted that the Tribunal had jurisdiction</w:t>
      </w:r>
      <w:r w:rsidR="003A23E2">
        <w:rPr>
          <w:rFonts w:ascii="Calibri" w:eastAsia="Times" w:hAnsi="Calibri" w:cs="Calibri"/>
          <w:bCs/>
          <w:sz w:val="24"/>
          <w:szCs w:val="24"/>
          <w:lang w:val="en-AU"/>
        </w:rPr>
        <w:t xml:space="preserve">. </w:t>
      </w:r>
      <w:r w:rsidR="003854B8">
        <w:rPr>
          <w:rFonts w:ascii="Calibri" w:eastAsia="Times" w:hAnsi="Calibri" w:cs="Calibri"/>
          <w:bCs/>
          <w:sz w:val="24"/>
          <w:szCs w:val="24"/>
          <w:lang w:val="en-AU"/>
        </w:rPr>
        <w:t>The essence of her submission was that</w:t>
      </w:r>
      <w:r w:rsidR="00DF5702">
        <w:rPr>
          <w:rFonts w:ascii="Calibri" w:eastAsia="Times" w:hAnsi="Calibri" w:cs="Calibri"/>
          <w:bCs/>
          <w:sz w:val="24"/>
          <w:szCs w:val="24"/>
          <w:lang w:val="en-AU"/>
        </w:rPr>
        <w:t xml:space="preserve"> it would be difficult to separate out the conduct that occurred prior to the practitioner’s registration from the conduct that </w:t>
      </w:r>
      <w:r w:rsidR="00CE4DA0">
        <w:rPr>
          <w:rFonts w:ascii="Calibri" w:eastAsia="Times" w:hAnsi="Calibri" w:cs="Calibri"/>
          <w:bCs/>
          <w:sz w:val="24"/>
          <w:szCs w:val="24"/>
          <w:lang w:val="en-AU"/>
        </w:rPr>
        <w:t>carried forward from that period into the period when she was registered.</w:t>
      </w:r>
    </w:p>
    <w:p w14:paraId="2E0C9460" w14:textId="10D65521" w:rsidR="00C443D3" w:rsidRDefault="00344693" w:rsidP="00B03337">
      <w:pPr>
        <w:numPr>
          <w:ilvl w:val="0"/>
          <w:numId w:val="1"/>
        </w:numPr>
        <w:tabs>
          <w:tab w:val="left" w:pos="709"/>
        </w:tabs>
        <w:spacing w:after="0" w:line="360" w:lineRule="auto"/>
        <w:ind w:left="567" w:hanging="567"/>
        <w:contextualSpacing/>
        <w:jc w:val="both"/>
        <w:rPr>
          <w:rFonts w:ascii="Calibri" w:eastAsia="Times" w:hAnsi="Calibri" w:cs="Calibri"/>
          <w:bCs/>
          <w:sz w:val="24"/>
          <w:szCs w:val="24"/>
          <w:lang w:val="en-AU"/>
        </w:rPr>
      </w:pPr>
      <w:r>
        <w:rPr>
          <w:rFonts w:ascii="Calibri" w:eastAsia="Times" w:hAnsi="Calibri" w:cs="Calibri"/>
          <w:bCs/>
          <w:sz w:val="24"/>
          <w:szCs w:val="24"/>
          <w:lang w:val="en-AU"/>
        </w:rPr>
        <w:t>T</w:t>
      </w:r>
      <w:r w:rsidR="00323E47">
        <w:rPr>
          <w:rFonts w:ascii="Calibri" w:eastAsia="Times" w:hAnsi="Calibri" w:cs="Calibri"/>
          <w:bCs/>
          <w:sz w:val="24"/>
          <w:szCs w:val="24"/>
          <w:lang w:val="en-AU"/>
        </w:rPr>
        <w:t>he Tribunal</w:t>
      </w:r>
      <w:r>
        <w:rPr>
          <w:rFonts w:ascii="Calibri" w:eastAsia="Times" w:hAnsi="Calibri" w:cs="Calibri"/>
          <w:bCs/>
          <w:sz w:val="24"/>
          <w:szCs w:val="24"/>
          <w:lang w:val="en-AU"/>
        </w:rPr>
        <w:t xml:space="preserve"> has reflected </w:t>
      </w:r>
      <w:r w:rsidR="005A46B5">
        <w:rPr>
          <w:rFonts w:ascii="Calibri" w:eastAsia="Times" w:hAnsi="Calibri" w:cs="Calibri"/>
          <w:bCs/>
          <w:sz w:val="24"/>
          <w:szCs w:val="24"/>
          <w:lang w:val="en-AU"/>
        </w:rPr>
        <w:t xml:space="preserve">further </w:t>
      </w:r>
      <w:r>
        <w:rPr>
          <w:rFonts w:ascii="Calibri" w:eastAsia="Times" w:hAnsi="Calibri" w:cs="Calibri"/>
          <w:bCs/>
          <w:sz w:val="24"/>
          <w:szCs w:val="24"/>
          <w:lang w:val="en-AU"/>
        </w:rPr>
        <w:t xml:space="preserve">on that matter. </w:t>
      </w:r>
      <w:r w:rsidR="005A46B5">
        <w:rPr>
          <w:rFonts w:ascii="Calibri" w:eastAsia="Times" w:hAnsi="Calibri" w:cs="Calibri"/>
          <w:bCs/>
          <w:sz w:val="24"/>
          <w:szCs w:val="24"/>
          <w:lang w:val="en-AU"/>
        </w:rPr>
        <w:t xml:space="preserve">The Tribunal </w:t>
      </w:r>
      <w:r w:rsidR="00323E47">
        <w:rPr>
          <w:rFonts w:ascii="Calibri" w:eastAsia="Times" w:hAnsi="Calibri" w:cs="Calibri"/>
          <w:bCs/>
          <w:sz w:val="24"/>
          <w:szCs w:val="24"/>
          <w:lang w:val="en-AU"/>
        </w:rPr>
        <w:t>is satisfied that in</w:t>
      </w:r>
      <w:r w:rsidR="00537456">
        <w:rPr>
          <w:rFonts w:ascii="Calibri" w:eastAsia="Times" w:hAnsi="Calibri" w:cs="Calibri"/>
          <w:bCs/>
          <w:sz w:val="24"/>
          <w:szCs w:val="24"/>
          <w:lang w:val="en-AU"/>
        </w:rPr>
        <w:t xml:space="preserve"> cases where the conduct charged is alleged to have occurred prior to registration and carrie</w:t>
      </w:r>
      <w:r w:rsidR="005A46B5">
        <w:rPr>
          <w:rFonts w:ascii="Calibri" w:eastAsia="Times" w:hAnsi="Calibri" w:cs="Calibri"/>
          <w:bCs/>
          <w:sz w:val="24"/>
          <w:szCs w:val="24"/>
          <w:lang w:val="en-AU"/>
        </w:rPr>
        <w:t>d</w:t>
      </w:r>
      <w:r w:rsidR="00537456">
        <w:rPr>
          <w:rFonts w:ascii="Calibri" w:eastAsia="Times" w:hAnsi="Calibri" w:cs="Calibri"/>
          <w:bCs/>
          <w:sz w:val="24"/>
          <w:szCs w:val="24"/>
          <w:lang w:val="en-AU"/>
        </w:rPr>
        <w:t xml:space="preserve"> forward from that period when he or she was not registered into the period when he or she was registered that conduct </w:t>
      </w:r>
      <w:r w:rsidR="00036796">
        <w:rPr>
          <w:rFonts w:ascii="Calibri" w:eastAsia="Times" w:hAnsi="Calibri" w:cs="Calibri"/>
          <w:bCs/>
          <w:sz w:val="24"/>
          <w:szCs w:val="24"/>
          <w:lang w:val="en-AU"/>
        </w:rPr>
        <w:t>is</w:t>
      </w:r>
      <w:r w:rsidR="00537456">
        <w:rPr>
          <w:rFonts w:ascii="Calibri" w:eastAsia="Times" w:hAnsi="Calibri" w:cs="Calibri"/>
          <w:bCs/>
          <w:sz w:val="24"/>
          <w:szCs w:val="24"/>
          <w:lang w:val="en-AU"/>
        </w:rPr>
        <w:t xml:space="preserve"> within reach of the Tribunal’s jurisdiction. </w:t>
      </w:r>
      <w:r w:rsidR="004B5ADC">
        <w:rPr>
          <w:rFonts w:ascii="Calibri" w:eastAsia="Times" w:hAnsi="Calibri" w:cs="Calibri"/>
          <w:bCs/>
          <w:sz w:val="24"/>
          <w:szCs w:val="24"/>
          <w:lang w:val="en-AU"/>
        </w:rPr>
        <w:t>This is one such case</w:t>
      </w:r>
      <w:r w:rsidR="003854B8">
        <w:rPr>
          <w:rFonts w:ascii="Calibri" w:eastAsia="Times" w:hAnsi="Calibri" w:cs="Calibri"/>
          <w:bCs/>
          <w:sz w:val="24"/>
          <w:szCs w:val="24"/>
          <w:lang w:val="en-AU"/>
        </w:rPr>
        <w:t>,</w:t>
      </w:r>
      <w:r w:rsidR="004B5ADC">
        <w:rPr>
          <w:rFonts w:ascii="Calibri" w:eastAsia="Times" w:hAnsi="Calibri" w:cs="Calibri"/>
          <w:bCs/>
          <w:sz w:val="24"/>
          <w:szCs w:val="24"/>
          <w:lang w:val="en-AU"/>
        </w:rPr>
        <w:t xml:space="preserve"> </w:t>
      </w:r>
      <w:r w:rsidR="003854B8">
        <w:rPr>
          <w:rFonts w:ascii="Calibri" w:eastAsia="Times" w:hAnsi="Calibri" w:cs="Calibri"/>
          <w:bCs/>
          <w:sz w:val="24"/>
          <w:szCs w:val="24"/>
          <w:lang w:val="en-AU"/>
        </w:rPr>
        <w:t>in that there</w:t>
      </w:r>
      <w:r w:rsidR="004B5ADC">
        <w:rPr>
          <w:rFonts w:ascii="Calibri" w:eastAsia="Times" w:hAnsi="Calibri" w:cs="Calibri"/>
          <w:bCs/>
          <w:sz w:val="24"/>
          <w:szCs w:val="24"/>
          <w:lang w:val="en-AU"/>
        </w:rPr>
        <w:t xml:space="preserve"> has been an inappropriate relationship between a social </w:t>
      </w:r>
      <w:r w:rsidR="004B5ADC">
        <w:rPr>
          <w:rFonts w:ascii="Calibri" w:eastAsia="Times" w:hAnsi="Calibri" w:cs="Calibri"/>
          <w:bCs/>
          <w:sz w:val="24"/>
          <w:szCs w:val="24"/>
          <w:lang w:val="en-AU"/>
        </w:rPr>
        <w:lastRenderedPageBreak/>
        <w:t xml:space="preserve">worker and a client that commenced prior to the practitioner’s registration and continued into the period when </w:t>
      </w:r>
      <w:r w:rsidR="00C443D3">
        <w:rPr>
          <w:rFonts w:ascii="Calibri" w:eastAsia="Times" w:hAnsi="Calibri" w:cs="Calibri"/>
          <w:bCs/>
          <w:sz w:val="24"/>
          <w:szCs w:val="24"/>
          <w:lang w:val="en-AU"/>
        </w:rPr>
        <w:t>she</w:t>
      </w:r>
      <w:r w:rsidR="004B5ADC">
        <w:rPr>
          <w:rFonts w:ascii="Calibri" w:eastAsia="Times" w:hAnsi="Calibri" w:cs="Calibri"/>
          <w:bCs/>
          <w:sz w:val="24"/>
          <w:szCs w:val="24"/>
          <w:lang w:val="en-AU"/>
        </w:rPr>
        <w:t xml:space="preserve"> was registered</w:t>
      </w:r>
      <w:r w:rsidR="00C443D3">
        <w:rPr>
          <w:rFonts w:ascii="Calibri" w:eastAsia="Times" w:hAnsi="Calibri" w:cs="Calibri"/>
          <w:bCs/>
          <w:sz w:val="24"/>
          <w:szCs w:val="24"/>
          <w:lang w:val="en-AU"/>
        </w:rPr>
        <w:t>.</w:t>
      </w:r>
    </w:p>
    <w:p w14:paraId="1D033EC1" w14:textId="4A25BF77" w:rsidR="00F865B2" w:rsidRPr="00B03337" w:rsidRDefault="00C443D3" w:rsidP="00B03337">
      <w:pPr>
        <w:numPr>
          <w:ilvl w:val="0"/>
          <w:numId w:val="1"/>
        </w:numPr>
        <w:tabs>
          <w:tab w:val="left" w:pos="709"/>
        </w:tabs>
        <w:spacing w:after="0" w:line="360" w:lineRule="auto"/>
        <w:ind w:left="567" w:hanging="567"/>
        <w:contextualSpacing/>
        <w:jc w:val="both"/>
        <w:rPr>
          <w:rFonts w:ascii="Calibri" w:eastAsia="Times" w:hAnsi="Calibri" w:cs="Calibri"/>
          <w:bCs/>
          <w:sz w:val="24"/>
          <w:szCs w:val="24"/>
          <w:lang w:val="en-AU"/>
        </w:rPr>
      </w:pPr>
      <w:r>
        <w:rPr>
          <w:rFonts w:ascii="Calibri" w:eastAsia="Times" w:hAnsi="Calibri" w:cs="Calibri"/>
          <w:bCs/>
          <w:sz w:val="24"/>
          <w:szCs w:val="24"/>
          <w:lang w:val="en-AU"/>
        </w:rPr>
        <w:t>W</w:t>
      </w:r>
      <w:r w:rsidR="00B03337">
        <w:rPr>
          <w:rFonts w:ascii="Calibri" w:eastAsia="Times" w:hAnsi="Calibri" w:cs="Calibri"/>
          <w:bCs/>
          <w:sz w:val="24"/>
          <w:szCs w:val="24"/>
          <w:lang w:val="en-AU"/>
        </w:rPr>
        <w:t>hether conduct</w:t>
      </w:r>
      <w:r w:rsidR="007E73E4">
        <w:rPr>
          <w:rFonts w:ascii="Calibri" w:eastAsia="Times" w:hAnsi="Calibri" w:cs="Calibri"/>
          <w:bCs/>
          <w:sz w:val="24"/>
          <w:szCs w:val="24"/>
          <w:lang w:val="en-AU"/>
        </w:rPr>
        <w:t xml:space="preserve"> that is</w:t>
      </w:r>
      <w:r w:rsidR="00B03337">
        <w:rPr>
          <w:rFonts w:ascii="Calibri" w:eastAsia="Times" w:hAnsi="Calibri" w:cs="Calibri"/>
          <w:bCs/>
          <w:sz w:val="24"/>
          <w:szCs w:val="24"/>
          <w:lang w:val="en-AU"/>
        </w:rPr>
        <w:t xml:space="preserve"> </w:t>
      </w:r>
      <w:r w:rsidR="00537456">
        <w:rPr>
          <w:rFonts w:ascii="Calibri" w:eastAsia="Times" w:hAnsi="Calibri" w:cs="Calibri"/>
          <w:bCs/>
          <w:sz w:val="24"/>
          <w:szCs w:val="24"/>
          <w:lang w:val="en-AU"/>
        </w:rPr>
        <w:t>alleged to have occurred entirely and exclusively prior to the practitioner’s registration</w:t>
      </w:r>
      <w:r w:rsidR="00B03337">
        <w:rPr>
          <w:rFonts w:ascii="Calibri" w:eastAsia="Times" w:hAnsi="Calibri" w:cs="Calibri"/>
          <w:bCs/>
          <w:sz w:val="24"/>
          <w:szCs w:val="24"/>
          <w:lang w:val="en-AU"/>
        </w:rPr>
        <w:t xml:space="preserve"> can be the subject of a finding of professional </w:t>
      </w:r>
      <w:r w:rsidR="007E73E4">
        <w:rPr>
          <w:rFonts w:ascii="Calibri" w:eastAsia="Times" w:hAnsi="Calibri" w:cs="Calibri"/>
          <w:bCs/>
          <w:sz w:val="24"/>
          <w:szCs w:val="24"/>
          <w:lang w:val="en-AU"/>
        </w:rPr>
        <w:t>misconduct</w:t>
      </w:r>
      <w:r w:rsidR="003854B8">
        <w:rPr>
          <w:rFonts w:ascii="Calibri" w:eastAsia="Times" w:hAnsi="Calibri" w:cs="Calibri"/>
          <w:bCs/>
          <w:sz w:val="24"/>
          <w:szCs w:val="24"/>
          <w:lang w:val="en-AU"/>
        </w:rPr>
        <w:t xml:space="preserve"> (or ‘conduct unbecoming’</w:t>
      </w:r>
      <w:r w:rsidR="00596A17">
        <w:rPr>
          <w:rStyle w:val="FootnoteReference"/>
          <w:rFonts w:ascii="Calibri" w:eastAsia="Times" w:hAnsi="Calibri" w:cs="Calibri"/>
          <w:bCs/>
          <w:sz w:val="24"/>
          <w:szCs w:val="24"/>
          <w:lang w:val="en-AU"/>
        </w:rPr>
        <w:footnoteReference w:id="25"/>
      </w:r>
      <w:r w:rsidR="003854B8">
        <w:rPr>
          <w:rFonts w:ascii="Calibri" w:eastAsia="Times" w:hAnsi="Calibri" w:cs="Calibri"/>
          <w:bCs/>
          <w:sz w:val="24"/>
          <w:szCs w:val="24"/>
          <w:lang w:val="en-AU"/>
        </w:rPr>
        <w:t>)</w:t>
      </w:r>
      <w:r w:rsidR="00CD0B0A">
        <w:rPr>
          <w:rFonts w:ascii="Calibri" w:eastAsia="Times" w:hAnsi="Calibri" w:cs="Calibri"/>
          <w:bCs/>
          <w:sz w:val="24"/>
          <w:szCs w:val="24"/>
          <w:lang w:val="en-AU"/>
        </w:rPr>
        <w:t>,</w:t>
      </w:r>
      <w:r w:rsidR="007E73E4">
        <w:rPr>
          <w:rFonts w:ascii="Calibri" w:eastAsia="Times" w:hAnsi="Calibri" w:cs="Calibri"/>
          <w:bCs/>
          <w:sz w:val="24"/>
          <w:szCs w:val="24"/>
          <w:lang w:val="en-AU"/>
        </w:rPr>
        <w:t xml:space="preserve"> is a question for another day</w:t>
      </w:r>
      <w:r w:rsidR="00B03337">
        <w:rPr>
          <w:rFonts w:ascii="Calibri" w:eastAsia="Times" w:hAnsi="Calibri" w:cs="Calibri"/>
          <w:bCs/>
          <w:sz w:val="24"/>
          <w:szCs w:val="24"/>
          <w:lang w:val="en-AU"/>
        </w:rPr>
        <w:t>.</w:t>
      </w:r>
    </w:p>
    <w:p w14:paraId="262635E1" w14:textId="77777777" w:rsidR="00285939" w:rsidRPr="00285939" w:rsidRDefault="00285939" w:rsidP="00285939">
      <w:pPr>
        <w:tabs>
          <w:tab w:val="left" w:pos="709"/>
        </w:tabs>
        <w:spacing w:line="360" w:lineRule="auto"/>
        <w:contextualSpacing/>
        <w:jc w:val="both"/>
        <w:rPr>
          <w:rFonts w:ascii="Calibri" w:eastAsia="Times New Roman" w:hAnsi="Calibri" w:cs="Calibri"/>
          <w:sz w:val="24"/>
          <w:szCs w:val="20"/>
          <w:lang w:val="en-GB"/>
        </w:rPr>
      </w:pPr>
    </w:p>
    <w:p w14:paraId="22EDC7CA" w14:textId="77777777" w:rsidR="00285939" w:rsidRPr="00285939" w:rsidRDefault="00285939" w:rsidP="00285939">
      <w:pPr>
        <w:tabs>
          <w:tab w:val="left" w:pos="709"/>
        </w:tabs>
        <w:spacing w:line="360" w:lineRule="auto"/>
        <w:contextualSpacing/>
        <w:jc w:val="both"/>
        <w:rPr>
          <w:rFonts w:ascii="Calibri" w:eastAsia="Times New Roman" w:hAnsi="Calibri" w:cs="Calibri"/>
          <w:b/>
          <w:bCs/>
          <w:i/>
          <w:iCs/>
          <w:sz w:val="24"/>
          <w:szCs w:val="20"/>
          <w:lang w:val="en-GB"/>
        </w:rPr>
      </w:pPr>
      <w:r w:rsidRPr="00285939">
        <w:rPr>
          <w:rFonts w:ascii="Calibri" w:eastAsia="Times New Roman" w:hAnsi="Calibri" w:cs="Calibri"/>
          <w:b/>
          <w:bCs/>
          <w:sz w:val="24"/>
          <w:szCs w:val="20"/>
          <w:lang w:val="en-GB"/>
        </w:rPr>
        <w:t>Penalty</w:t>
      </w:r>
    </w:p>
    <w:p w14:paraId="17165C10" w14:textId="6BE0F030" w:rsidR="00285939" w:rsidRPr="00285939" w:rsidRDefault="00285939" w:rsidP="00285939">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sidRPr="00285939">
        <w:rPr>
          <w:rFonts w:ascii="Calibri" w:eastAsia="Times New Roman" w:hAnsi="Calibri" w:cs="Calibri"/>
          <w:sz w:val="24"/>
          <w:szCs w:val="20"/>
          <w:lang w:val="en-GB"/>
        </w:rPr>
        <w:t xml:space="preserve">Satisfied that </w:t>
      </w:r>
      <w:r w:rsidR="004C5407">
        <w:rPr>
          <w:rFonts w:ascii="Calibri" w:eastAsia="Times New Roman" w:hAnsi="Calibri" w:cs="Calibri"/>
          <w:sz w:val="24"/>
          <w:szCs w:val="20"/>
          <w:lang w:val="en-GB"/>
        </w:rPr>
        <w:t>the</w:t>
      </w:r>
      <w:r w:rsidR="00936975">
        <w:rPr>
          <w:rFonts w:ascii="Calibri" w:eastAsia="Times New Roman" w:hAnsi="Calibri" w:cs="Calibri"/>
          <w:sz w:val="24"/>
          <w:szCs w:val="20"/>
          <w:lang w:val="en-GB"/>
        </w:rPr>
        <w:t xml:space="preserve"> Charge was established</w:t>
      </w:r>
      <w:r w:rsidRPr="00285939">
        <w:rPr>
          <w:rFonts w:ascii="Calibri" w:eastAsia="Times New Roman" w:hAnsi="Calibri" w:cs="Calibri"/>
          <w:sz w:val="24"/>
          <w:szCs w:val="20"/>
          <w:lang w:val="en-GB"/>
        </w:rPr>
        <w:t>, the Tribunal was able to make penalty orders specified in section 83(1) of the SWR Act. The orders the Tribunal was able to make in this case were:</w:t>
      </w:r>
    </w:p>
    <w:p w14:paraId="4FD696D2" w14:textId="77777777" w:rsidR="00285939" w:rsidRPr="00285939" w:rsidRDefault="00285939" w:rsidP="007D0BAB">
      <w:pPr>
        <w:numPr>
          <w:ilvl w:val="1"/>
          <w:numId w:val="1"/>
        </w:numPr>
        <w:tabs>
          <w:tab w:val="left" w:pos="709"/>
        </w:tabs>
        <w:spacing w:after="0" w:line="360" w:lineRule="auto"/>
        <w:ind w:left="1701" w:hanging="567"/>
        <w:contextualSpacing/>
        <w:jc w:val="both"/>
        <w:rPr>
          <w:rFonts w:ascii="Calibri" w:eastAsia="Times New Roman" w:hAnsi="Calibri" w:cs="Calibri"/>
          <w:sz w:val="24"/>
          <w:szCs w:val="20"/>
          <w:lang w:val="en-GB"/>
        </w:rPr>
      </w:pPr>
      <w:r w:rsidRPr="00285939">
        <w:rPr>
          <w:rFonts w:ascii="Calibri" w:eastAsia="Times New Roman" w:hAnsi="Calibri" w:cs="Calibri"/>
          <w:sz w:val="24"/>
          <w:szCs w:val="20"/>
          <w:lang w:val="en-GB"/>
        </w:rPr>
        <w:t>An order that:</w:t>
      </w:r>
    </w:p>
    <w:p w14:paraId="7664DB4A" w14:textId="7681FE62" w:rsidR="00285939" w:rsidRPr="00285939" w:rsidRDefault="0013483F" w:rsidP="00285939">
      <w:pPr>
        <w:numPr>
          <w:ilvl w:val="2"/>
          <w:numId w:val="1"/>
        </w:numPr>
        <w:tabs>
          <w:tab w:val="left" w:pos="709"/>
        </w:tabs>
        <w:spacing w:after="0" w:line="360" w:lineRule="auto"/>
        <w:contextualSpacing/>
        <w:jc w:val="both"/>
        <w:rPr>
          <w:rFonts w:ascii="Calibri" w:eastAsia="Times New Roman" w:hAnsi="Calibri" w:cs="Calibri"/>
          <w:sz w:val="24"/>
          <w:szCs w:val="20"/>
          <w:lang w:val="en-GB"/>
        </w:rPr>
      </w:pPr>
      <w:r>
        <w:rPr>
          <w:rFonts w:ascii="Calibri" w:eastAsia="Times New Roman" w:hAnsi="Calibri" w:cs="Calibri"/>
          <w:sz w:val="24"/>
          <w:szCs w:val="20"/>
          <w:lang w:val="en-GB"/>
        </w:rPr>
        <w:t>The practitioner’s</w:t>
      </w:r>
      <w:r w:rsidR="00285939" w:rsidRPr="00285939">
        <w:rPr>
          <w:rFonts w:ascii="Calibri" w:eastAsia="Times New Roman" w:hAnsi="Calibri" w:cs="Calibri"/>
          <w:sz w:val="24"/>
          <w:szCs w:val="20"/>
          <w:lang w:val="en-GB"/>
        </w:rPr>
        <w:t xml:space="preserve"> registration be cancelled, or h</w:t>
      </w:r>
      <w:r>
        <w:rPr>
          <w:rFonts w:ascii="Calibri" w:eastAsia="Times New Roman" w:hAnsi="Calibri" w:cs="Calibri"/>
          <w:sz w:val="24"/>
          <w:szCs w:val="20"/>
          <w:lang w:val="en-GB"/>
        </w:rPr>
        <w:t>er</w:t>
      </w:r>
      <w:r w:rsidR="00285939" w:rsidRPr="00285939">
        <w:rPr>
          <w:rFonts w:ascii="Calibri" w:eastAsia="Times New Roman" w:hAnsi="Calibri" w:cs="Calibri"/>
          <w:sz w:val="24"/>
          <w:szCs w:val="20"/>
          <w:lang w:val="en-GB"/>
        </w:rPr>
        <w:t xml:space="preserve"> registration or practising certificate be suspended for a period of not more than 3 years; and</w:t>
      </w:r>
    </w:p>
    <w:p w14:paraId="163DA065" w14:textId="1C5EBF95" w:rsidR="00285939" w:rsidRPr="00285939" w:rsidRDefault="00285939" w:rsidP="00285939">
      <w:pPr>
        <w:numPr>
          <w:ilvl w:val="2"/>
          <w:numId w:val="1"/>
        </w:numPr>
        <w:tabs>
          <w:tab w:val="left" w:pos="709"/>
        </w:tabs>
        <w:spacing w:after="0" w:line="360" w:lineRule="auto"/>
        <w:contextualSpacing/>
        <w:jc w:val="both"/>
        <w:rPr>
          <w:rFonts w:ascii="Calibri" w:eastAsia="Times New Roman" w:hAnsi="Calibri" w:cs="Calibri"/>
          <w:sz w:val="24"/>
          <w:szCs w:val="20"/>
          <w:lang w:val="en-GB"/>
        </w:rPr>
      </w:pPr>
      <w:r w:rsidRPr="00285939">
        <w:rPr>
          <w:rFonts w:ascii="Calibri" w:eastAsia="Times New Roman" w:hAnsi="Calibri" w:cs="Calibri"/>
          <w:sz w:val="24"/>
          <w:szCs w:val="20"/>
          <w:lang w:val="en-GB"/>
        </w:rPr>
        <w:t xml:space="preserve">For a period of not more than 3 years, </w:t>
      </w:r>
      <w:r w:rsidR="0013483F">
        <w:rPr>
          <w:rFonts w:ascii="Calibri" w:eastAsia="Times New Roman" w:hAnsi="Calibri" w:cs="Calibri"/>
          <w:sz w:val="24"/>
          <w:szCs w:val="20"/>
          <w:lang w:val="en-GB"/>
        </w:rPr>
        <w:t>s</w:t>
      </w:r>
      <w:r w:rsidRPr="00285939">
        <w:rPr>
          <w:rFonts w:ascii="Calibri" w:eastAsia="Times New Roman" w:hAnsi="Calibri" w:cs="Calibri"/>
          <w:sz w:val="24"/>
          <w:szCs w:val="20"/>
          <w:lang w:val="en-GB"/>
        </w:rPr>
        <w:t>he may practise as a social worker only in accordance with stated conditions (as to employment, supervision, or otherwise);</w:t>
      </w:r>
      <w:r w:rsidR="00F8653B">
        <w:rPr>
          <w:rFonts w:ascii="Calibri" w:eastAsia="Times New Roman" w:hAnsi="Calibri" w:cs="Calibri"/>
          <w:sz w:val="24"/>
          <w:szCs w:val="20"/>
          <w:lang w:val="en-GB"/>
        </w:rPr>
        <w:t xml:space="preserve"> and</w:t>
      </w:r>
    </w:p>
    <w:p w14:paraId="553EF591" w14:textId="2CF678CF" w:rsidR="00285939" w:rsidRPr="00285939" w:rsidRDefault="00285939" w:rsidP="007D0BAB">
      <w:pPr>
        <w:numPr>
          <w:ilvl w:val="1"/>
          <w:numId w:val="1"/>
        </w:numPr>
        <w:tabs>
          <w:tab w:val="left" w:pos="709"/>
        </w:tabs>
        <w:spacing w:after="0" w:line="360" w:lineRule="auto"/>
        <w:ind w:left="1701" w:hanging="567"/>
        <w:contextualSpacing/>
        <w:jc w:val="both"/>
        <w:rPr>
          <w:rFonts w:ascii="Calibri" w:eastAsia="Times New Roman" w:hAnsi="Calibri" w:cs="Calibri"/>
          <w:sz w:val="24"/>
          <w:szCs w:val="20"/>
          <w:lang w:val="en-GB"/>
        </w:rPr>
      </w:pPr>
      <w:r w:rsidRPr="00285939">
        <w:rPr>
          <w:rFonts w:ascii="Calibri" w:eastAsia="Times New Roman" w:hAnsi="Calibri" w:cs="Calibri"/>
          <w:sz w:val="24"/>
          <w:szCs w:val="20"/>
          <w:lang w:val="en-GB"/>
        </w:rPr>
        <w:t xml:space="preserve">An order that </w:t>
      </w:r>
      <w:r w:rsidR="00D26F96">
        <w:rPr>
          <w:rFonts w:ascii="Calibri" w:eastAsia="Times New Roman" w:hAnsi="Calibri" w:cs="Calibri"/>
          <w:sz w:val="24"/>
          <w:szCs w:val="20"/>
          <w:lang w:val="en-GB"/>
        </w:rPr>
        <w:t>the practitioner</w:t>
      </w:r>
      <w:r w:rsidRPr="00285939">
        <w:rPr>
          <w:rFonts w:ascii="Calibri" w:eastAsia="Times New Roman" w:hAnsi="Calibri" w:cs="Calibri"/>
          <w:sz w:val="24"/>
          <w:szCs w:val="20"/>
          <w:lang w:val="en-GB"/>
        </w:rPr>
        <w:t xml:space="preserve"> be censured;</w:t>
      </w:r>
      <w:r w:rsidR="00F8653B">
        <w:rPr>
          <w:rFonts w:ascii="Calibri" w:eastAsia="Times New Roman" w:hAnsi="Calibri" w:cs="Calibri"/>
          <w:sz w:val="24"/>
          <w:szCs w:val="20"/>
          <w:lang w:val="en-GB"/>
        </w:rPr>
        <w:t xml:space="preserve"> and</w:t>
      </w:r>
    </w:p>
    <w:p w14:paraId="6B5FA253" w14:textId="1327DB84" w:rsidR="00285939" w:rsidRPr="00285939" w:rsidRDefault="00285939" w:rsidP="007D0BAB">
      <w:pPr>
        <w:numPr>
          <w:ilvl w:val="1"/>
          <w:numId w:val="1"/>
        </w:numPr>
        <w:tabs>
          <w:tab w:val="left" w:pos="709"/>
        </w:tabs>
        <w:spacing w:after="0" w:line="360" w:lineRule="auto"/>
        <w:ind w:left="1701" w:hanging="567"/>
        <w:contextualSpacing/>
        <w:jc w:val="both"/>
        <w:rPr>
          <w:rFonts w:ascii="Calibri" w:eastAsia="Times New Roman" w:hAnsi="Calibri" w:cs="Calibri"/>
          <w:sz w:val="24"/>
          <w:szCs w:val="20"/>
          <w:lang w:val="en-GB"/>
        </w:rPr>
      </w:pPr>
      <w:r w:rsidRPr="00285939">
        <w:rPr>
          <w:rFonts w:ascii="Calibri" w:eastAsia="Times New Roman" w:hAnsi="Calibri" w:cs="Calibri"/>
          <w:sz w:val="24"/>
          <w:szCs w:val="20"/>
          <w:lang w:val="en-GB"/>
        </w:rPr>
        <w:t xml:space="preserve">An order that </w:t>
      </w:r>
      <w:r w:rsidR="00D26F96">
        <w:rPr>
          <w:rFonts w:ascii="Calibri" w:eastAsia="Times New Roman" w:hAnsi="Calibri" w:cs="Calibri"/>
          <w:sz w:val="24"/>
          <w:szCs w:val="20"/>
          <w:lang w:val="en-GB"/>
        </w:rPr>
        <w:t>the practitioner</w:t>
      </w:r>
      <w:r w:rsidRPr="00285939">
        <w:rPr>
          <w:rFonts w:ascii="Calibri" w:eastAsia="Times New Roman" w:hAnsi="Calibri" w:cs="Calibri"/>
          <w:sz w:val="24"/>
          <w:szCs w:val="20"/>
          <w:lang w:val="en-GB"/>
        </w:rPr>
        <w:t xml:space="preserve"> undergo stated additional training, professional development or both;</w:t>
      </w:r>
      <w:r w:rsidR="00F8653B">
        <w:rPr>
          <w:rFonts w:ascii="Calibri" w:eastAsia="Times New Roman" w:hAnsi="Calibri" w:cs="Calibri"/>
          <w:sz w:val="24"/>
          <w:szCs w:val="20"/>
          <w:lang w:val="en-GB"/>
        </w:rPr>
        <w:t xml:space="preserve"> and</w:t>
      </w:r>
    </w:p>
    <w:p w14:paraId="4EE34482" w14:textId="7023CB36" w:rsidR="00285939" w:rsidRPr="00285939" w:rsidRDefault="00285939" w:rsidP="007D0BAB">
      <w:pPr>
        <w:numPr>
          <w:ilvl w:val="1"/>
          <w:numId w:val="1"/>
        </w:numPr>
        <w:tabs>
          <w:tab w:val="left" w:pos="709"/>
        </w:tabs>
        <w:spacing w:after="0" w:line="360" w:lineRule="auto"/>
        <w:ind w:left="1701" w:hanging="567"/>
        <w:contextualSpacing/>
        <w:jc w:val="both"/>
        <w:rPr>
          <w:rFonts w:ascii="Calibri" w:eastAsia="Times New Roman" w:hAnsi="Calibri" w:cs="Calibri"/>
          <w:sz w:val="24"/>
          <w:szCs w:val="20"/>
          <w:lang w:val="en-GB"/>
        </w:rPr>
      </w:pPr>
      <w:r w:rsidRPr="00285939">
        <w:rPr>
          <w:rFonts w:ascii="Calibri" w:eastAsia="Times New Roman" w:hAnsi="Calibri" w:cs="Calibri"/>
          <w:sz w:val="24"/>
          <w:szCs w:val="20"/>
          <w:lang w:val="en-GB"/>
        </w:rPr>
        <w:t xml:space="preserve">An order that </w:t>
      </w:r>
      <w:r w:rsidR="00D26F96">
        <w:rPr>
          <w:rFonts w:ascii="Calibri" w:eastAsia="Times New Roman" w:hAnsi="Calibri" w:cs="Calibri"/>
          <w:sz w:val="24"/>
          <w:szCs w:val="20"/>
          <w:lang w:val="en-GB"/>
        </w:rPr>
        <w:t>the practitioner</w:t>
      </w:r>
      <w:r w:rsidRPr="00285939">
        <w:rPr>
          <w:rFonts w:ascii="Calibri" w:eastAsia="Times New Roman" w:hAnsi="Calibri" w:cs="Calibri"/>
          <w:sz w:val="24"/>
          <w:szCs w:val="20"/>
          <w:lang w:val="en-GB"/>
        </w:rPr>
        <w:t xml:space="preserve"> pay part or all of the costs and expenses of and incidental to:</w:t>
      </w:r>
    </w:p>
    <w:p w14:paraId="7FC820E4" w14:textId="2CF77E9C" w:rsidR="00285939" w:rsidRPr="00285939" w:rsidRDefault="00285939" w:rsidP="007D0BAB">
      <w:pPr>
        <w:numPr>
          <w:ilvl w:val="2"/>
          <w:numId w:val="1"/>
        </w:numPr>
        <w:tabs>
          <w:tab w:val="left" w:pos="709"/>
        </w:tabs>
        <w:spacing w:after="0" w:line="360" w:lineRule="auto"/>
        <w:ind w:left="2977" w:hanging="283"/>
        <w:contextualSpacing/>
        <w:jc w:val="both"/>
        <w:rPr>
          <w:rFonts w:ascii="Calibri" w:eastAsia="Times New Roman" w:hAnsi="Calibri" w:cs="Calibri"/>
          <w:sz w:val="24"/>
          <w:szCs w:val="20"/>
          <w:lang w:val="en-GB"/>
        </w:rPr>
      </w:pPr>
      <w:r w:rsidRPr="00285939">
        <w:rPr>
          <w:rFonts w:ascii="Calibri" w:eastAsia="Times New Roman" w:hAnsi="Calibri" w:cs="Calibri"/>
          <w:sz w:val="24"/>
          <w:szCs w:val="20"/>
          <w:lang w:val="en-GB"/>
        </w:rPr>
        <w:t>Any inquiry made by the PCC in relation to the subject matter of the charge;</w:t>
      </w:r>
      <w:r w:rsidR="00F8653B">
        <w:rPr>
          <w:rFonts w:ascii="Calibri" w:eastAsia="Times New Roman" w:hAnsi="Calibri" w:cs="Calibri"/>
          <w:sz w:val="24"/>
          <w:szCs w:val="20"/>
          <w:lang w:val="en-GB"/>
        </w:rPr>
        <w:t xml:space="preserve"> and</w:t>
      </w:r>
    </w:p>
    <w:p w14:paraId="3BA2B9B9" w14:textId="77777777" w:rsidR="00285939" w:rsidRPr="00285939" w:rsidRDefault="00285939" w:rsidP="00285939">
      <w:pPr>
        <w:numPr>
          <w:ilvl w:val="2"/>
          <w:numId w:val="1"/>
        </w:numPr>
        <w:tabs>
          <w:tab w:val="left" w:pos="709"/>
        </w:tabs>
        <w:spacing w:after="0" w:line="360" w:lineRule="auto"/>
        <w:contextualSpacing/>
        <w:jc w:val="both"/>
        <w:rPr>
          <w:rFonts w:ascii="Calibri" w:eastAsia="Times New Roman" w:hAnsi="Calibri" w:cs="Calibri"/>
          <w:sz w:val="24"/>
          <w:szCs w:val="20"/>
          <w:lang w:val="en-GB"/>
        </w:rPr>
      </w:pPr>
      <w:r w:rsidRPr="00285939">
        <w:rPr>
          <w:rFonts w:ascii="Calibri" w:eastAsia="Times New Roman" w:hAnsi="Calibri" w:cs="Calibri"/>
          <w:sz w:val="24"/>
          <w:szCs w:val="20"/>
          <w:lang w:val="en-GB"/>
        </w:rPr>
        <w:t>The prosecution of the charge by the PCC; and</w:t>
      </w:r>
    </w:p>
    <w:p w14:paraId="6CBBC173" w14:textId="77777777" w:rsidR="00285939" w:rsidRDefault="00285939" w:rsidP="00285939">
      <w:pPr>
        <w:numPr>
          <w:ilvl w:val="2"/>
          <w:numId w:val="1"/>
        </w:numPr>
        <w:tabs>
          <w:tab w:val="left" w:pos="709"/>
        </w:tabs>
        <w:spacing w:after="0" w:line="360" w:lineRule="auto"/>
        <w:contextualSpacing/>
        <w:jc w:val="both"/>
        <w:rPr>
          <w:rFonts w:ascii="Calibri" w:eastAsia="Times New Roman" w:hAnsi="Calibri" w:cs="Calibri"/>
          <w:sz w:val="24"/>
          <w:szCs w:val="20"/>
          <w:lang w:val="en-GB"/>
        </w:rPr>
      </w:pPr>
      <w:r w:rsidRPr="00285939">
        <w:rPr>
          <w:rFonts w:ascii="Calibri" w:eastAsia="Times New Roman" w:hAnsi="Calibri" w:cs="Calibri"/>
          <w:sz w:val="24"/>
          <w:szCs w:val="20"/>
          <w:lang w:val="en-GB"/>
        </w:rPr>
        <w:t>The hearing (by the Tribunal).</w:t>
      </w:r>
    </w:p>
    <w:p w14:paraId="5F9053E7" w14:textId="77777777" w:rsidR="0058182D" w:rsidRPr="00285939" w:rsidRDefault="0058182D" w:rsidP="007D0BAB">
      <w:pPr>
        <w:tabs>
          <w:tab w:val="left" w:pos="709"/>
        </w:tabs>
        <w:spacing w:after="0" w:line="360" w:lineRule="auto"/>
        <w:ind w:left="2880"/>
        <w:contextualSpacing/>
        <w:jc w:val="both"/>
        <w:rPr>
          <w:rFonts w:ascii="Calibri" w:eastAsia="Times New Roman" w:hAnsi="Calibri" w:cs="Calibri"/>
          <w:sz w:val="24"/>
          <w:szCs w:val="20"/>
          <w:lang w:val="en-GB"/>
        </w:rPr>
      </w:pPr>
    </w:p>
    <w:p w14:paraId="79F95169" w14:textId="52701862" w:rsidR="00285939" w:rsidRPr="00285939" w:rsidRDefault="00285939" w:rsidP="00285939">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sidRPr="00285939">
        <w:rPr>
          <w:rFonts w:ascii="Calibri" w:eastAsia="Times New Roman" w:hAnsi="Calibri" w:cs="Calibri"/>
          <w:sz w:val="24"/>
          <w:szCs w:val="20"/>
          <w:lang w:val="en-GB"/>
        </w:rPr>
        <w:lastRenderedPageBreak/>
        <w:t xml:space="preserve">In dealing with a matter that constitutes an offence for which the social worker has been convicted by a court, as </w:t>
      </w:r>
      <w:r w:rsidR="00D26F96">
        <w:rPr>
          <w:rFonts w:ascii="Calibri" w:eastAsia="Times New Roman" w:hAnsi="Calibri" w:cs="Calibri"/>
          <w:sz w:val="24"/>
          <w:szCs w:val="20"/>
          <w:lang w:val="en-GB"/>
        </w:rPr>
        <w:t>the practitioner</w:t>
      </w:r>
      <w:r w:rsidRPr="00285939">
        <w:rPr>
          <w:rFonts w:ascii="Calibri" w:eastAsia="Times New Roman" w:hAnsi="Calibri" w:cs="Calibri"/>
          <w:sz w:val="24"/>
          <w:szCs w:val="20"/>
          <w:lang w:val="en-GB"/>
        </w:rPr>
        <w:t xml:space="preserve"> has, the Tribunal must not impose a fine (section 83(3)).</w:t>
      </w:r>
    </w:p>
    <w:p w14:paraId="6CB51411" w14:textId="77777777" w:rsidR="00285939" w:rsidRPr="00285939" w:rsidRDefault="00285939" w:rsidP="00285939">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sidRPr="00285939">
        <w:rPr>
          <w:rFonts w:ascii="Calibri" w:eastAsia="Times New Roman" w:hAnsi="Calibri" w:cs="Calibri"/>
          <w:sz w:val="24"/>
          <w:szCs w:val="20"/>
          <w:lang w:val="en-GB"/>
        </w:rPr>
        <w:t>Section 83(1)(ca) provides that the Tribunal may order that the social worker “apologise to the complainant”. There was no “complainant” in this case as the matter was the result of convictions notified to the Board, rather than arising from a complaint.</w:t>
      </w:r>
    </w:p>
    <w:p w14:paraId="79CFB1CE" w14:textId="77777777" w:rsidR="00285939" w:rsidRPr="00285939" w:rsidRDefault="00285939" w:rsidP="00285939">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sidRPr="00285939">
        <w:rPr>
          <w:rFonts w:ascii="Calibri" w:eastAsia="Times New Roman" w:hAnsi="Calibri" w:cs="Calibri"/>
          <w:sz w:val="24"/>
          <w:szCs w:val="20"/>
          <w:lang w:val="en-GB"/>
        </w:rPr>
        <w:t>Section 83(2) provides that the Tribunal must not make an order cancelling a social worker’s registration unless it has first considered suspension or the imposition of conditions on the person’s registration or practising certificate.</w:t>
      </w:r>
    </w:p>
    <w:p w14:paraId="2FE51FC0" w14:textId="2B065DCB" w:rsidR="00285939" w:rsidRPr="00285939" w:rsidRDefault="00285939" w:rsidP="00285939">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sidRPr="00285939">
        <w:rPr>
          <w:rFonts w:ascii="Calibri" w:eastAsia="Times New Roman" w:hAnsi="Calibri" w:cs="Calibri"/>
          <w:sz w:val="24"/>
          <w:szCs w:val="20"/>
          <w:lang w:val="en-GB"/>
        </w:rPr>
        <w:t xml:space="preserve">In its submissions the PCC referred to the need for any penalty to be imposed to fulfil the functions of protecting the public and enhancing the professionalism of social workers (section 3(a) and (d) of the SWR Act). </w:t>
      </w:r>
      <w:r w:rsidR="008E2964">
        <w:rPr>
          <w:rFonts w:ascii="Calibri" w:eastAsia="Times New Roman" w:hAnsi="Calibri" w:cs="Calibri"/>
          <w:sz w:val="24"/>
          <w:szCs w:val="20"/>
          <w:lang w:val="en-GB"/>
        </w:rPr>
        <w:t>T</w:t>
      </w:r>
      <w:r w:rsidRPr="00285939">
        <w:rPr>
          <w:rFonts w:ascii="Calibri" w:eastAsia="Times New Roman" w:hAnsi="Calibri" w:cs="Calibri"/>
          <w:sz w:val="24"/>
          <w:szCs w:val="20"/>
          <w:lang w:val="en-GB"/>
        </w:rPr>
        <w:t>he imposition of disciplinary penalties have a purpose in the maintenance (and/or setting) of professional standards and there is also a punitive element (although that is much less of a feature in cases where the Tribunal has considered conduct that has already been considered in a criminal court).</w:t>
      </w:r>
    </w:p>
    <w:p w14:paraId="03FFE298" w14:textId="4F1E7DA5" w:rsidR="00285939" w:rsidRPr="00285939" w:rsidRDefault="00285939" w:rsidP="00285939">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sidRPr="00285939">
        <w:rPr>
          <w:rFonts w:ascii="Calibri" w:eastAsia="Times New Roman" w:hAnsi="Calibri" w:cs="Calibri"/>
          <w:sz w:val="24"/>
          <w:szCs w:val="20"/>
        </w:rPr>
        <w:t>In addition</w:t>
      </w:r>
      <w:r w:rsidR="003504C5">
        <w:rPr>
          <w:rFonts w:ascii="Calibri" w:eastAsia="Times New Roman" w:hAnsi="Calibri" w:cs="Calibri"/>
          <w:sz w:val="24"/>
          <w:szCs w:val="20"/>
        </w:rPr>
        <w:t>,</w:t>
      </w:r>
      <w:r w:rsidRPr="00285939">
        <w:rPr>
          <w:rFonts w:ascii="Calibri" w:eastAsia="Times New Roman" w:hAnsi="Calibri" w:cs="Calibri"/>
          <w:sz w:val="24"/>
          <w:szCs w:val="20"/>
        </w:rPr>
        <w:t xml:space="preserve"> the PCC referred to the relevant penalty principles identified by His Honour Collins J in </w:t>
      </w:r>
      <w:r w:rsidRPr="00285939">
        <w:rPr>
          <w:rFonts w:ascii="Calibri" w:eastAsia="Times New Roman" w:hAnsi="Calibri" w:cs="Calibri"/>
          <w:i/>
          <w:iCs/>
          <w:sz w:val="24"/>
          <w:szCs w:val="20"/>
        </w:rPr>
        <w:t>Roberts v Professional Conduct Committee</w:t>
      </w:r>
      <w:r w:rsidR="003504C5">
        <w:rPr>
          <w:rFonts w:ascii="Calibri" w:eastAsia="Times New Roman" w:hAnsi="Calibri" w:cs="Calibri"/>
          <w:i/>
          <w:iCs/>
          <w:sz w:val="24"/>
          <w:szCs w:val="20"/>
        </w:rPr>
        <w:t xml:space="preserve"> of the Nursing Council</w:t>
      </w:r>
      <w:r w:rsidR="003504C5">
        <w:rPr>
          <w:rStyle w:val="FootnoteReference"/>
          <w:rFonts w:ascii="Calibri" w:eastAsia="Times New Roman" w:hAnsi="Calibri" w:cs="Calibri"/>
          <w:i/>
          <w:iCs/>
          <w:sz w:val="24"/>
          <w:szCs w:val="20"/>
        </w:rPr>
        <w:footnoteReference w:id="26"/>
      </w:r>
      <w:r w:rsidRPr="00285939">
        <w:rPr>
          <w:rFonts w:ascii="Calibri" w:eastAsia="Times New Roman" w:hAnsi="Calibri" w:cs="Calibri"/>
          <w:sz w:val="24"/>
          <w:szCs w:val="20"/>
        </w:rPr>
        <w:t>, which this Tribunal has adopted as relevant to the sentencing exercise here:</w:t>
      </w:r>
    </w:p>
    <w:p w14:paraId="0AA48C88" w14:textId="77777777" w:rsidR="00285939" w:rsidRPr="00285939" w:rsidRDefault="00285939" w:rsidP="007D0BAB">
      <w:pPr>
        <w:numPr>
          <w:ilvl w:val="1"/>
          <w:numId w:val="1"/>
        </w:numPr>
        <w:tabs>
          <w:tab w:val="left" w:pos="709"/>
        </w:tabs>
        <w:spacing w:after="0" w:line="360" w:lineRule="auto"/>
        <w:ind w:left="1701" w:hanging="567"/>
        <w:contextualSpacing/>
        <w:jc w:val="both"/>
        <w:rPr>
          <w:rFonts w:ascii="Calibri" w:eastAsia="Times New Roman" w:hAnsi="Calibri" w:cs="Calibri"/>
          <w:sz w:val="24"/>
          <w:szCs w:val="20"/>
          <w:lang w:val="en-GB"/>
        </w:rPr>
      </w:pPr>
      <w:r w:rsidRPr="00285939">
        <w:rPr>
          <w:rFonts w:ascii="Calibri" w:eastAsia="Times New Roman" w:hAnsi="Calibri" w:cs="Calibri"/>
          <w:sz w:val="24"/>
          <w:szCs w:val="20"/>
        </w:rPr>
        <w:t>What penalty most appropriately protects the public.</w:t>
      </w:r>
    </w:p>
    <w:p w14:paraId="65AFF06E" w14:textId="77777777" w:rsidR="00285939" w:rsidRPr="00285939" w:rsidRDefault="00285939" w:rsidP="007D0BAB">
      <w:pPr>
        <w:numPr>
          <w:ilvl w:val="1"/>
          <w:numId w:val="1"/>
        </w:numPr>
        <w:tabs>
          <w:tab w:val="left" w:pos="709"/>
        </w:tabs>
        <w:spacing w:after="0" w:line="360" w:lineRule="auto"/>
        <w:ind w:left="1701" w:hanging="567"/>
        <w:contextualSpacing/>
        <w:jc w:val="both"/>
        <w:rPr>
          <w:rFonts w:ascii="Calibri" w:eastAsia="Times New Roman" w:hAnsi="Calibri" w:cs="Calibri"/>
          <w:sz w:val="24"/>
          <w:szCs w:val="20"/>
          <w:lang w:val="en-GB"/>
        </w:rPr>
      </w:pPr>
      <w:r w:rsidRPr="00285939">
        <w:rPr>
          <w:rFonts w:ascii="Calibri" w:eastAsia="Times New Roman" w:hAnsi="Calibri" w:cs="Calibri"/>
          <w:sz w:val="24"/>
          <w:szCs w:val="20"/>
          <w:lang w:val="en-GB"/>
        </w:rPr>
        <w:t>The important role the Tribunal plays in setting professional standards.</w:t>
      </w:r>
    </w:p>
    <w:p w14:paraId="29A7A08D" w14:textId="054E9839" w:rsidR="00285939" w:rsidRPr="00285939" w:rsidRDefault="00285939" w:rsidP="007D0BAB">
      <w:pPr>
        <w:numPr>
          <w:ilvl w:val="1"/>
          <w:numId w:val="1"/>
        </w:numPr>
        <w:tabs>
          <w:tab w:val="left" w:pos="709"/>
        </w:tabs>
        <w:spacing w:after="0" w:line="360" w:lineRule="auto"/>
        <w:ind w:left="1701" w:hanging="567"/>
        <w:contextualSpacing/>
        <w:jc w:val="both"/>
        <w:rPr>
          <w:rFonts w:ascii="Calibri" w:eastAsia="Times New Roman" w:hAnsi="Calibri" w:cs="Calibri"/>
          <w:sz w:val="24"/>
          <w:szCs w:val="20"/>
          <w:lang w:val="en-GB"/>
        </w:rPr>
      </w:pPr>
      <w:r w:rsidRPr="00285939">
        <w:rPr>
          <w:rFonts w:ascii="Calibri" w:eastAsia="Times New Roman" w:hAnsi="Calibri" w:cs="Calibri"/>
          <w:sz w:val="24"/>
          <w:szCs w:val="20"/>
          <w:lang w:val="en-GB"/>
        </w:rPr>
        <w:t xml:space="preserve">The penalties imposed may have a punitive function but protection of the public and </w:t>
      </w:r>
      <w:r w:rsidR="007D0BAB">
        <w:rPr>
          <w:rFonts w:ascii="Calibri" w:eastAsia="Times New Roman" w:hAnsi="Calibri" w:cs="Calibri"/>
          <w:sz w:val="24"/>
          <w:szCs w:val="20"/>
          <w:lang w:val="en-GB"/>
        </w:rPr>
        <w:t xml:space="preserve">the maintenance of </w:t>
      </w:r>
      <w:r w:rsidRPr="00285939">
        <w:rPr>
          <w:rFonts w:ascii="Calibri" w:eastAsia="Times New Roman" w:hAnsi="Calibri" w:cs="Calibri"/>
          <w:sz w:val="24"/>
          <w:szCs w:val="20"/>
          <w:lang w:val="en-GB"/>
        </w:rPr>
        <w:t>professional standards are the most important factors.</w:t>
      </w:r>
    </w:p>
    <w:p w14:paraId="1EC70CFA" w14:textId="77777777" w:rsidR="00285939" w:rsidRPr="00285939" w:rsidRDefault="00285939" w:rsidP="007D0BAB">
      <w:pPr>
        <w:numPr>
          <w:ilvl w:val="1"/>
          <w:numId w:val="1"/>
        </w:numPr>
        <w:tabs>
          <w:tab w:val="left" w:pos="709"/>
        </w:tabs>
        <w:spacing w:after="0" w:line="360" w:lineRule="auto"/>
        <w:ind w:left="1701" w:hanging="567"/>
        <w:contextualSpacing/>
        <w:jc w:val="both"/>
        <w:rPr>
          <w:rFonts w:ascii="Calibri" w:eastAsia="Times New Roman" w:hAnsi="Calibri" w:cs="Calibri"/>
          <w:sz w:val="24"/>
          <w:szCs w:val="20"/>
          <w:lang w:val="en-GB"/>
        </w:rPr>
      </w:pPr>
      <w:r w:rsidRPr="00285939">
        <w:rPr>
          <w:rFonts w:ascii="Calibri" w:eastAsia="Times New Roman" w:hAnsi="Calibri" w:cs="Calibri"/>
          <w:sz w:val="24"/>
          <w:szCs w:val="20"/>
          <w:lang w:val="en-GB"/>
        </w:rPr>
        <w:t>Where appropriate, the rehabilitation of the social worker involved.</w:t>
      </w:r>
    </w:p>
    <w:p w14:paraId="55499ECC" w14:textId="77777777" w:rsidR="00285939" w:rsidRPr="00285939" w:rsidRDefault="00285939" w:rsidP="007D0BAB">
      <w:pPr>
        <w:numPr>
          <w:ilvl w:val="1"/>
          <w:numId w:val="1"/>
        </w:numPr>
        <w:tabs>
          <w:tab w:val="left" w:pos="709"/>
        </w:tabs>
        <w:spacing w:after="0" w:line="360" w:lineRule="auto"/>
        <w:ind w:left="1701" w:hanging="567"/>
        <w:contextualSpacing/>
        <w:jc w:val="both"/>
        <w:rPr>
          <w:rFonts w:ascii="Calibri" w:eastAsia="Times New Roman" w:hAnsi="Calibri" w:cs="Calibri"/>
          <w:sz w:val="24"/>
          <w:szCs w:val="20"/>
          <w:lang w:val="en-GB"/>
        </w:rPr>
      </w:pPr>
      <w:r w:rsidRPr="00285939">
        <w:rPr>
          <w:rFonts w:ascii="Calibri" w:eastAsia="Times New Roman" w:hAnsi="Calibri" w:cs="Calibri"/>
          <w:sz w:val="24"/>
          <w:szCs w:val="20"/>
          <w:lang w:val="en-GB"/>
        </w:rPr>
        <w:t>That any penalty imposed is comparable to other penalties imposed on social workers in similar circumstances.</w:t>
      </w:r>
    </w:p>
    <w:p w14:paraId="045DD8FF" w14:textId="77777777" w:rsidR="00285939" w:rsidRPr="00285939" w:rsidRDefault="00285939" w:rsidP="007D0BAB">
      <w:pPr>
        <w:numPr>
          <w:ilvl w:val="1"/>
          <w:numId w:val="1"/>
        </w:numPr>
        <w:tabs>
          <w:tab w:val="left" w:pos="709"/>
        </w:tabs>
        <w:spacing w:after="0" w:line="360" w:lineRule="auto"/>
        <w:ind w:left="1701" w:hanging="567"/>
        <w:contextualSpacing/>
        <w:jc w:val="both"/>
        <w:rPr>
          <w:rFonts w:ascii="Calibri" w:eastAsia="Times New Roman" w:hAnsi="Calibri" w:cs="Calibri"/>
          <w:sz w:val="24"/>
          <w:szCs w:val="20"/>
          <w:lang w:val="en-GB"/>
        </w:rPr>
      </w:pPr>
      <w:r w:rsidRPr="00285939">
        <w:rPr>
          <w:rFonts w:ascii="Calibri" w:eastAsia="Times New Roman" w:hAnsi="Calibri" w:cs="Calibri"/>
          <w:sz w:val="24"/>
          <w:szCs w:val="20"/>
          <w:lang w:val="en-GB"/>
        </w:rPr>
        <w:t>Assessing the social worker’s behaviour against the spectrum of sentencing options available and trying to ensure that the maximum penalties are reserved for the worst offenders.</w:t>
      </w:r>
    </w:p>
    <w:p w14:paraId="1F5A5CCB" w14:textId="77777777" w:rsidR="00285939" w:rsidRPr="00285939" w:rsidRDefault="00285939" w:rsidP="007D0BAB">
      <w:pPr>
        <w:numPr>
          <w:ilvl w:val="1"/>
          <w:numId w:val="1"/>
        </w:numPr>
        <w:tabs>
          <w:tab w:val="left" w:pos="709"/>
        </w:tabs>
        <w:spacing w:after="0" w:line="360" w:lineRule="auto"/>
        <w:ind w:left="1701" w:hanging="567"/>
        <w:contextualSpacing/>
        <w:jc w:val="both"/>
        <w:rPr>
          <w:rFonts w:ascii="Calibri" w:eastAsia="Times New Roman" w:hAnsi="Calibri" w:cs="Calibri"/>
          <w:sz w:val="24"/>
          <w:szCs w:val="20"/>
          <w:lang w:val="en-GB"/>
        </w:rPr>
      </w:pPr>
      <w:r w:rsidRPr="00285939">
        <w:rPr>
          <w:rFonts w:ascii="Calibri" w:eastAsia="Times New Roman" w:hAnsi="Calibri" w:cs="Calibri"/>
          <w:sz w:val="24"/>
          <w:szCs w:val="20"/>
          <w:lang w:val="en-GB"/>
        </w:rPr>
        <w:lastRenderedPageBreak/>
        <w:t>An endeavour to impose a penalty that is the least restrictive that can reasonably be imposed in the circumstances.</w:t>
      </w:r>
    </w:p>
    <w:p w14:paraId="68A6AD63" w14:textId="77777777" w:rsidR="00285939" w:rsidRPr="00285939" w:rsidRDefault="00285939" w:rsidP="007D0BAB">
      <w:pPr>
        <w:numPr>
          <w:ilvl w:val="1"/>
          <w:numId w:val="1"/>
        </w:numPr>
        <w:tabs>
          <w:tab w:val="left" w:pos="709"/>
        </w:tabs>
        <w:spacing w:after="0" w:line="360" w:lineRule="auto"/>
        <w:ind w:left="1701" w:hanging="567"/>
        <w:contextualSpacing/>
        <w:jc w:val="both"/>
        <w:rPr>
          <w:rFonts w:ascii="Calibri" w:eastAsia="Times New Roman" w:hAnsi="Calibri" w:cs="Calibri"/>
          <w:sz w:val="24"/>
          <w:szCs w:val="20"/>
          <w:lang w:val="en-GB"/>
        </w:rPr>
      </w:pPr>
      <w:r w:rsidRPr="00285939">
        <w:rPr>
          <w:rFonts w:ascii="Calibri" w:eastAsia="Times New Roman" w:hAnsi="Calibri" w:cs="Calibri"/>
          <w:sz w:val="24"/>
          <w:szCs w:val="20"/>
          <w:lang w:val="en-GB"/>
        </w:rPr>
        <w:t>Whether the penalty proposed is fair, reasonable, and proportionate in the circumstances presented.</w:t>
      </w:r>
    </w:p>
    <w:p w14:paraId="5D56A068" w14:textId="7FD02D7B" w:rsidR="00285939" w:rsidRPr="00285939" w:rsidRDefault="00E96FB5" w:rsidP="00285939">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Pr>
          <w:rFonts w:ascii="Calibri" w:eastAsia="Times New Roman" w:hAnsi="Calibri" w:cs="Calibri"/>
          <w:sz w:val="24"/>
          <w:szCs w:val="20"/>
          <w:lang w:val="en-GB"/>
        </w:rPr>
        <w:t>The</w:t>
      </w:r>
      <w:r w:rsidR="00285939" w:rsidRPr="00285939">
        <w:rPr>
          <w:rFonts w:ascii="Calibri" w:eastAsia="Times New Roman" w:hAnsi="Calibri" w:cs="Calibri"/>
          <w:sz w:val="24"/>
          <w:szCs w:val="20"/>
          <w:lang w:val="en-GB"/>
        </w:rPr>
        <w:t xml:space="preserve"> PCC’s submissions referred to previous </w:t>
      </w:r>
      <w:r w:rsidR="003A2600">
        <w:rPr>
          <w:rFonts w:ascii="Calibri" w:eastAsia="Times New Roman" w:hAnsi="Calibri" w:cs="Calibri"/>
          <w:sz w:val="24"/>
          <w:szCs w:val="20"/>
          <w:lang w:val="en-GB"/>
        </w:rPr>
        <w:t xml:space="preserve">Tribunal </w:t>
      </w:r>
      <w:r w:rsidR="00285939" w:rsidRPr="00285939">
        <w:rPr>
          <w:rFonts w:ascii="Calibri" w:eastAsia="Times New Roman" w:hAnsi="Calibri" w:cs="Calibri"/>
          <w:sz w:val="24"/>
          <w:szCs w:val="20"/>
          <w:lang w:val="en-GB"/>
        </w:rPr>
        <w:t>decisions</w:t>
      </w:r>
      <w:r w:rsidR="004A7227">
        <w:rPr>
          <w:rFonts w:ascii="Calibri" w:eastAsia="Times New Roman" w:hAnsi="Calibri" w:cs="Calibri"/>
          <w:sz w:val="24"/>
          <w:szCs w:val="20"/>
          <w:lang w:val="en-GB"/>
        </w:rPr>
        <w:t xml:space="preserve"> in which professional misconduct was found </w:t>
      </w:r>
      <w:r w:rsidR="00D952E0">
        <w:rPr>
          <w:rFonts w:ascii="Calibri" w:eastAsia="Times New Roman" w:hAnsi="Calibri" w:cs="Calibri"/>
          <w:sz w:val="24"/>
          <w:szCs w:val="20"/>
          <w:lang w:val="en-GB"/>
        </w:rPr>
        <w:t xml:space="preserve">in circumstances </w:t>
      </w:r>
      <w:r w:rsidR="004A7227">
        <w:rPr>
          <w:rFonts w:ascii="Calibri" w:eastAsia="Times New Roman" w:hAnsi="Calibri" w:cs="Calibri"/>
          <w:sz w:val="24"/>
          <w:szCs w:val="20"/>
          <w:lang w:val="en-GB"/>
        </w:rPr>
        <w:t>where there had been</w:t>
      </w:r>
      <w:r w:rsidR="003A2600">
        <w:rPr>
          <w:rFonts w:ascii="Calibri" w:eastAsia="Times New Roman" w:hAnsi="Calibri" w:cs="Calibri"/>
          <w:sz w:val="24"/>
          <w:szCs w:val="20"/>
          <w:lang w:val="en-GB"/>
        </w:rPr>
        <w:t xml:space="preserve"> boundary breaches and inappropriate relationships between social workers and clients or former clients.</w:t>
      </w:r>
      <w:r w:rsidR="00AC2564">
        <w:rPr>
          <w:rStyle w:val="FootnoteReference"/>
          <w:rFonts w:ascii="Calibri" w:eastAsia="Times New Roman" w:hAnsi="Calibri" w:cs="Calibri"/>
          <w:sz w:val="24"/>
          <w:szCs w:val="20"/>
          <w:lang w:val="en-GB"/>
        </w:rPr>
        <w:footnoteReference w:id="27"/>
      </w:r>
      <w:r w:rsidR="00AC2564">
        <w:rPr>
          <w:rFonts w:ascii="Calibri" w:eastAsia="Times New Roman" w:hAnsi="Calibri" w:cs="Calibri"/>
          <w:sz w:val="24"/>
          <w:szCs w:val="20"/>
          <w:lang w:val="en-GB"/>
        </w:rPr>
        <w:t xml:space="preserve"> Those cases refer to the trust and confidence that is paramount in the special relationship between a social worker and a client</w:t>
      </w:r>
      <w:r w:rsidR="00AF2737">
        <w:rPr>
          <w:rFonts w:ascii="Calibri" w:eastAsia="Times New Roman" w:hAnsi="Calibri" w:cs="Calibri"/>
          <w:sz w:val="24"/>
          <w:szCs w:val="20"/>
          <w:lang w:val="en-GB"/>
        </w:rPr>
        <w:t xml:space="preserve"> and the critical need</w:t>
      </w:r>
      <w:r w:rsidR="00FF1332">
        <w:rPr>
          <w:rFonts w:ascii="Calibri" w:eastAsia="Times New Roman" w:hAnsi="Calibri" w:cs="Calibri"/>
          <w:sz w:val="24"/>
          <w:szCs w:val="20"/>
          <w:lang w:val="en-GB"/>
        </w:rPr>
        <w:t xml:space="preserve"> for a social worker to respect</w:t>
      </w:r>
      <w:r w:rsidR="00AF2737">
        <w:rPr>
          <w:rFonts w:ascii="Calibri" w:eastAsia="Times New Roman" w:hAnsi="Calibri" w:cs="Calibri"/>
          <w:sz w:val="24"/>
          <w:szCs w:val="20"/>
          <w:lang w:val="en-GB"/>
        </w:rPr>
        <w:t xml:space="preserve"> professional boundaries. </w:t>
      </w:r>
      <w:r w:rsidR="00FF1332">
        <w:rPr>
          <w:rFonts w:ascii="Calibri" w:eastAsia="Times New Roman" w:hAnsi="Calibri" w:cs="Calibri"/>
          <w:sz w:val="24"/>
          <w:szCs w:val="20"/>
          <w:lang w:val="en-GB"/>
        </w:rPr>
        <w:t xml:space="preserve">The development and/or maintenance of an inappropriate </w:t>
      </w:r>
      <w:r w:rsidR="001A4BE1">
        <w:rPr>
          <w:rFonts w:ascii="Calibri" w:eastAsia="Times New Roman" w:hAnsi="Calibri" w:cs="Calibri"/>
          <w:sz w:val="24"/>
          <w:szCs w:val="20"/>
          <w:lang w:val="en-GB"/>
        </w:rPr>
        <w:t>relationship</w:t>
      </w:r>
      <w:r w:rsidR="00FF1332">
        <w:rPr>
          <w:rFonts w:ascii="Calibri" w:eastAsia="Times New Roman" w:hAnsi="Calibri" w:cs="Calibri"/>
          <w:sz w:val="24"/>
          <w:szCs w:val="20"/>
          <w:lang w:val="en-GB"/>
        </w:rPr>
        <w:t xml:space="preserve"> </w:t>
      </w:r>
      <w:r w:rsidR="00131DEA">
        <w:rPr>
          <w:rFonts w:ascii="Calibri" w:eastAsia="Times New Roman" w:hAnsi="Calibri" w:cs="Calibri"/>
          <w:sz w:val="24"/>
          <w:szCs w:val="20"/>
          <w:lang w:val="en-GB"/>
        </w:rPr>
        <w:t>is a gross abuse of that trust and confidence, particularly where the client i</w:t>
      </w:r>
      <w:r w:rsidR="001A4BE1">
        <w:rPr>
          <w:rFonts w:ascii="Calibri" w:eastAsia="Times New Roman" w:hAnsi="Calibri" w:cs="Calibri"/>
          <w:sz w:val="24"/>
          <w:szCs w:val="20"/>
          <w:lang w:val="en-GB"/>
        </w:rPr>
        <w:t>s</w:t>
      </w:r>
      <w:r w:rsidR="00131DEA">
        <w:rPr>
          <w:rFonts w:ascii="Calibri" w:eastAsia="Times New Roman" w:hAnsi="Calibri" w:cs="Calibri"/>
          <w:sz w:val="24"/>
          <w:szCs w:val="20"/>
          <w:lang w:val="en-GB"/>
        </w:rPr>
        <w:t xml:space="preserve"> young, vulnerable</w:t>
      </w:r>
      <w:r w:rsidR="00E37A60">
        <w:rPr>
          <w:rFonts w:ascii="Calibri" w:eastAsia="Times New Roman" w:hAnsi="Calibri" w:cs="Calibri"/>
          <w:sz w:val="24"/>
          <w:szCs w:val="20"/>
          <w:lang w:val="en-GB"/>
        </w:rPr>
        <w:t>,</w:t>
      </w:r>
      <w:r w:rsidR="00131DEA">
        <w:rPr>
          <w:rFonts w:ascii="Calibri" w:eastAsia="Times New Roman" w:hAnsi="Calibri" w:cs="Calibri"/>
          <w:sz w:val="24"/>
          <w:szCs w:val="20"/>
          <w:lang w:val="en-GB"/>
        </w:rPr>
        <w:t xml:space="preserve"> and inexperienced.</w:t>
      </w:r>
      <w:r w:rsidR="00695D6E">
        <w:rPr>
          <w:rFonts w:ascii="Calibri" w:eastAsia="Times New Roman" w:hAnsi="Calibri" w:cs="Calibri"/>
          <w:sz w:val="24"/>
          <w:szCs w:val="20"/>
          <w:lang w:val="en-GB"/>
        </w:rPr>
        <w:t xml:space="preserve"> </w:t>
      </w:r>
      <w:r w:rsidR="00DC5642">
        <w:rPr>
          <w:rFonts w:ascii="Calibri" w:eastAsia="Times New Roman" w:hAnsi="Calibri" w:cs="Calibri"/>
          <w:sz w:val="24"/>
          <w:szCs w:val="20"/>
          <w:lang w:val="en-GB"/>
        </w:rPr>
        <w:t>Such conduct attracts the more severe penalties available to the Tribunal including cancellation or suspension with conditions, and censure.</w:t>
      </w:r>
      <w:r w:rsidR="00003A36">
        <w:rPr>
          <w:rFonts w:ascii="Calibri" w:eastAsia="Times New Roman" w:hAnsi="Calibri" w:cs="Calibri"/>
          <w:sz w:val="24"/>
          <w:szCs w:val="20"/>
          <w:lang w:val="en-GB"/>
        </w:rPr>
        <w:t xml:space="preserve"> </w:t>
      </w:r>
      <w:r w:rsidR="00DE5838">
        <w:rPr>
          <w:rFonts w:ascii="Calibri" w:eastAsia="Times New Roman" w:hAnsi="Calibri" w:cs="Calibri"/>
          <w:sz w:val="24"/>
          <w:szCs w:val="20"/>
          <w:lang w:val="en-GB"/>
        </w:rPr>
        <w:t xml:space="preserve">Two decisions of the Teachers Disciplinary Tribunal </w:t>
      </w:r>
      <w:r w:rsidR="004A7227">
        <w:rPr>
          <w:rFonts w:ascii="Calibri" w:eastAsia="Times New Roman" w:hAnsi="Calibri" w:cs="Calibri"/>
          <w:sz w:val="24"/>
          <w:szCs w:val="20"/>
          <w:lang w:val="en-GB"/>
        </w:rPr>
        <w:t xml:space="preserve">were also referred </w:t>
      </w:r>
      <w:r w:rsidR="00285618">
        <w:rPr>
          <w:rFonts w:ascii="Calibri" w:eastAsia="Times New Roman" w:hAnsi="Calibri" w:cs="Calibri"/>
          <w:sz w:val="24"/>
          <w:szCs w:val="20"/>
          <w:lang w:val="en-GB"/>
        </w:rPr>
        <w:t>to. In one</w:t>
      </w:r>
      <w:r w:rsidR="00285618">
        <w:rPr>
          <w:rStyle w:val="FootnoteReference"/>
          <w:rFonts w:ascii="Calibri" w:eastAsia="Times New Roman" w:hAnsi="Calibri" w:cs="Calibri"/>
          <w:sz w:val="24"/>
          <w:szCs w:val="20"/>
          <w:lang w:val="en-GB"/>
        </w:rPr>
        <w:footnoteReference w:id="28"/>
      </w:r>
      <w:r w:rsidR="0019532A">
        <w:rPr>
          <w:rFonts w:ascii="Calibri" w:eastAsia="Times New Roman" w:hAnsi="Calibri" w:cs="Calibri"/>
          <w:sz w:val="24"/>
          <w:szCs w:val="20"/>
          <w:lang w:val="en-GB"/>
        </w:rPr>
        <w:t xml:space="preserve"> that Tribunal commented that in cases involving inappropriate relationships even without a physical sexual element</w:t>
      </w:r>
      <w:r w:rsidR="006A6729">
        <w:rPr>
          <w:rFonts w:ascii="Calibri" w:eastAsia="Times New Roman" w:hAnsi="Calibri" w:cs="Calibri"/>
          <w:sz w:val="24"/>
          <w:szCs w:val="20"/>
          <w:lang w:val="en-GB"/>
        </w:rPr>
        <w:t xml:space="preserve">, cancellation of registration is seldom avoided. </w:t>
      </w:r>
    </w:p>
    <w:p w14:paraId="4A1C582D" w14:textId="4FF17BA7" w:rsidR="00285939" w:rsidRPr="00285939" w:rsidRDefault="00285939" w:rsidP="00285939">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sidRPr="00285939">
        <w:rPr>
          <w:rFonts w:ascii="Calibri" w:eastAsia="Times New Roman" w:hAnsi="Calibri" w:cs="Calibri"/>
          <w:sz w:val="24"/>
          <w:szCs w:val="20"/>
          <w:lang w:val="en-GB"/>
        </w:rPr>
        <w:t xml:space="preserve">The PCC submitted that the aggravating features </w:t>
      </w:r>
      <w:r w:rsidR="00E37A60">
        <w:rPr>
          <w:rFonts w:ascii="Calibri" w:eastAsia="Times New Roman" w:hAnsi="Calibri" w:cs="Calibri"/>
          <w:sz w:val="24"/>
          <w:szCs w:val="20"/>
          <w:lang w:val="en-GB"/>
        </w:rPr>
        <w:t xml:space="preserve">of the offending </w:t>
      </w:r>
      <w:r w:rsidRPr="00285939">
        <w:rPr>
          <w:rFonts w:ascii="Calibri" w:eastAsia="Times New Roman" w:hAnsi="Calibri" w:cs="Calibri"/>
          <w:sz w:val="24"/>
          <w:szCs w:val="20"/>
          <w:lang w:val="en-GB"/>
        </w:rPr>
        <w:t>were:</w:t>
      </w:r>
    </w:p>
    <w:p w14:paraId="3C6F877F" w14:textId="4639C340" w:rsidR="00285939" w:rsidRPr="00285939" w:rsidRDefault="00285939" w:rsidP="007D0BAB">
      <w:pPr>
        <w:numPr>
          <w:ilvl w:val="1"/>
          <w:numId w:val="1"/>
        </w:numPr>
        <w:tabs>
          <w:tab w:val="left" w:pos="709"/>
        </w:tabs>
        <w:spacing w:after="0" w:line="360" w:lineRule="auto"/>
        <w:ind w:left="1701" w:hanging="567"/>
        <w:contextualSpacing/>
        <w:jc w:val="both"/>
        <w:rPr>
          <w:rFonts w:ascii="Calibri" w:eastAsia="Times New Roman" w:hAnsi="Calibri" w:cs="Calibri"/>
          <w:sz w:val="24"/>
          <w:szCs w:val="20"/>
          <w:lang w:val="en-GB"/>
        </w:rPr>
      </w:pPr>
      <w:r w:rsidRPr="006E7F31">
        <w:rPr>
          <w:rFonts w:ascii="Calibri" w:eastAsia="Times New Roman" w:hAnsi="Calibri" w:cs="Calibri"/>
          <w:i/>
          <w:iCs/>
          <w:sz w:val="24"/>
          <w:szCs w:val="20"/>
          <w:lang w:val="en-GB"/>
        </w:rPr>
        <w:t>The age and vulnerability of the victim</w:t>
      </w:r>
      <w:r w:rsidRPr="00285939">
        <w:rPr>
          <w:rFonts w:ascii="Calibri" w:eastAsia="Times New Roman" w:hAnsi="Calibri" w:cs="Calibri"/>
          <w:sz w:val="24"/>
          <w:szCs w:val="20"/>
          <w:lang w:val="en-GB"/>
        </w:rPr>
        <w:t xml:space="preserve">; </w:t>
      </w:r>
      <w:r w:rsidR="00AE0F7E">
        <w:rPr>
          <w:rFonts w:ascii="Calibri" w:eastAsia="Times New Roman" w:hAnsi="Calibri" w:cs="Calibri"/>
          <w:sz w:val="24"/>
          <w:szCs w:val="20"/>
          <w:lang w:val="en-GB"/>
        </w:rPr>
        <w:t xml:space="preserve">the </w:t>
      </w:r>
      <w:r w:rsidR="00035B18">
        <w:rPr>
          <w:rFonts w:ascii="Calibri" w:eastAsia="Times New Roman" w:hAnsi="Calibri" w:cs="Calibri"/>
          <w:sz w:val="24"/>
          <w:szCs w:val="20"/>
          <w:lang w:val="en-GB"/>
        </w:rPr>
        <w:t xml:space="preserve">victim was 15 years’ old and the practitioner knew he was vulnerable: he was </w:t>
      </w:r>
      <w:r w:rsidR="00D84301">
        <w:rPr>
          <w:rFonts w:ascii="Calibri" w:eastAsia="Times New Roman" w:hAnsi="Calibri" w:cs="Calibri"/>
          <w:sz w:val="24"/>
          <w:szCs w:val="20"/>
          <w:lang w:val="en-GB"/>
        </w:rPr>
        <w:t>a care and protection client and she had met him in her professional context. She had an extremely intimate knowledge of his personal circumstances</w:t>
      </w:r>
      <w:r w:rsidRPr="00285939">
        <w:rPr>
          <w:rFonts w:ascii="Calibri" w:eastAsia="Times New Roman" w:hAnsi="Calibri" w:cs="Calibri"/>
          <w:sz w:val="24"/>
          <w:szCs w:val="20"/>
          <w:lang w:val="en-GB"/>
        </w:rPr>
        <w:t>.</w:t>
      </w:r>
    </w:p>
    <w:p w14:paraId="1DADE21D" w14:textId="333283E5" w:rsidR="00285939" w:rsidRPr="00285939" w:rsidRDefault="00285939" w:rsidP="007D0BAB">
      <w:pPr>
        <w:numPr>
          <w:ilvl w:val="1"/>
          <w:numId w:val="1"/>
        </w:numPr>
        <w:tabs>
          <w:tab w:val="left" w:pos="709"/>
        </w:tabs>
        <w:spacing w:after="0" w:line="360" w:lineRule="auto"/>
        <w:ind w:left="1701" w:hanging="567"/>
        <w:contextualSpacing/>
        <w:jc w:val="both"/>
        <w:rPr>
          <w:rFonts w:ascii="Calibri" w:eastAsia="Times New Roman" w:hAnsi="Calibri" w:cs="Calibri"/>
          <w:sz w:val="24"/>
          <w:szCs w:val="20"/>
          <w:lang w:val="en-GB"/>
        </w:rPr>
      </w:pPr>
      <w:r w:rsidRPr="006E7F31">
        <w:rPr>
          <w:rFonts w:ascii="Calibri" w:eastAsia="Times New Roman" w:hAnsi="Calibri" w:cs="Calibri"/>
          <w:i/>
          <w:iCs/>
          <w:sz w:val="24"/>
          <w:szCs w:val="20"/>
          <w:lang w:val="en-GB"/>
        </w:rPr>
        <w:t>The abuse of trust</w:t>
      </w:r>
      <w:r w:rsidRPr="00285939">
        <w:rPr>
          <w:rFonts w:ascii="Calibri" w:eastAsia="Times New Roman" w:hAnsi="Calibri" w:cs="Calibri"/>
          <w:sz w:val="24"/>
          <w:szCs w:val="20"/>
          <w:lang w:val="en-GB"/>
        </w:rPr>
        <w:t xml:space="preserve">: as </w:t>
      </w:r>
      <w:r w:rsidR="00E06390">
        <w:rPr>
          <w:rFonts w:ascii="Calibri" w:eastAsia="Times New Roman" w:hAnsi="Calibri" w:cs="Calibri"/>
          <w:sz w:val="24"/>
          <w:szCs w:val="20"/>
          <w:lang w:val="en-GB"/>
        </w:rPr>
        <w:t xml:space="preserve">the victim’s social worker she was </w:t>
      </w:r>
      <w:r w:rsidRPr="00285939">
        <w:rPr>
          <w:rFonts w:ascii="Calibri" w:eastAsia="Times New Roman" w:hAnsi="Calibri" w:cs="Calibri"/>
          <w:sz w:val="24"/>
          <w:szCs w:val="20"/>
          <w:lang w:val="en-GB"/>
        </w:rPr>
        <w:t>in a position of trust</w:t>
      </w:r>
      <w:r w:rsidR="00E06390">
        <w:rPr>
          <w:rFonts w:ascii="Calibri" w:eastAsia="Times New Roman" w:hAnsi="Calibri" w:cs="Calibri"/>
          <w:sz w:val="24"/>
          <w:szCs w:val="20"/>
          <w:lang w:val="en-GB"/>
        </w:rPr>
        <w:t xml:space="preserve"> and it was her responsibility to ensure that the victim was provided with appropriate and objective support. </w:t>
      </w:r>
      <w:r w:rsidR="00FA2B62">
        <w:rPr>
          <w:rFonts w:ascii="Calibri" w:eastAsia="Times New Roman" w:hAnsi="Calibri" w:cs="Calibri"/>
          <w:sz w:val="24"/>
          <w:szCs w:val="20"/>
          <w:lang w:val="en-GB"/>
        </w:rPr>
        <w:t>The practitioner further abused this trust by asking him to lie about their relationship when the Police investigation began</w:t>
      </w:r>
      <w:r w:rsidRPr="00285939">
        <w:rPr>
          <w:rFonts w:ascii="Calibri" w:eastAsia="Times New Roman" w:hAnsi="Calibri" w:cs="Calibri"/>
          <w:sz w:val="24"/>
          <w:szCs w:val="20"/>
          <w:lang w:val="en-GB"/>
        </w:rPr>
        <w:t xml:space="preserve">. </w:t>
      </w:r>
    </w:p>
    <w:p w14:paraId="32C8373F" w14:textId="659161E1" w:rsidR="00285939" w:rsidRDefault="00285939" w:rsidP="007D0BAB">
      <w:pPr>
        <w:numPr>
          <w:ilvl w:val="1"/>
          <w:numId w:val="1"/>
        </w:numPr>
        <w:tabs>
          <w:tab w:val="left" w:pos="709"/>
        </w:tabs>
        <w:spacing w:after="0" w:line="360" w:lineRule="auto"/>
        <w:ind w:left="1701" w:hanging="567"/>
        <w:contextualSpacing/>
        <w:jc w:val="both"/>
        <w:rPr>
          <w:rFonts w:ascii="Calibri" w:eastAsia="Times New Roman" w:hAnsi="Calibri" w:cs="Calibri"/>
          <w:sz w:val="24"/>
          <w:szCs w:val="20"/>
          <w:lang w:val="en-GB"/>
        </w:rPr>
      </w:pPr>
      <w:r w:rsidRPr="006E7F31">
        <w:rPr>
          <w:rFonts w:ascii="Calibri" w:eastAsia="Times New Roman" w:hAnsi="Calibri" w:cs="Calibri"/>
          <w:i/>
          <w:iCs/>
          <w:sz w:val="24"/>
          <w:szCs w:val="20"/>
          <w:lang w:val="en-GB"/>
        </w:rPr>
        <w:t>The potential for harm</w:t>
      </w:r>
      <w:r w:rsidR="003D7E75">
        <w:rPr>
          <w:rFonts w:ascii="Calibri" w:eastAsia="Times New Roman" w:hAnsi="Calibri" w:cs="Calibri"/>
          <w:sz w:val="24"/>
          <w:szCs w:val="20"/>
          <w:lang w:val="en-GB"/>
        </w:rPr>
        <w:t>:</w:t>
      </w:r>
      <w:r w:rsidRPr="00285939">
        <w:rPr>
          <w:rFonts w:ascii="Calibri" w:eastAsia="Times New Roman" w:hAnsi="Calibri" w:cs="Calibri"/>
          <w:sz w:val="24"/>
          <w:szCs w:val="20"/>
          <w:lang w:val="en-GB"/>
        </w:rPr>
        <w:t xml:space="preserve"> </w:t>
      </w:r>
      <w:r w:rsidR="007F1652">
        <w:rPr>
          <w:rFonts w:ascii="Calibri" w:eastAsia="Times New Roman" w:hAnsi="Calibri" w:cs="Calibri"/>
          <w:sz w:val="24"/>
          <w:szCs w:val="20"/>
          <w:lang w:val="en-GB"/>
        </w:rPr>
        <w:t xml:space="preserve">the potential for harm to the victim was significant both through the development of a relationship and the provision of </w:t>
      </w:r>
      <w:r w:rsidR="007F1652">
        <w:rPr>
          <w:rFonts w:ascii="Calibri" w:eastAsia="Times New Roman" w:hAnsi="Calibri" w:cs="Calibri"/>
          <w:sz w:val="24"/>
          <w:szCs w:val="20"/>
          <w:lang w:val="en-GB"/>
        </w:rPr>
        <w:lastRenderedPageBreak/>
        <w:t>cannabis</w:t>
      </w:r>
      <w:r w:rsidR="006E7F31">
        <w:rPr>
          <w:rFonts w:ascii="Calibri" w:eastAsia="Times New Roman" w:hAnsi="Calibri" w:cs="Calibri"/>
          <w:sz w:val="24"/>
          <w:szCs w:val="20"/>
          <w:lang w:val="en-GB"/>
        </w:rPr>
        <w:t xml:space="preserve"> (on four occasions)</w:t>
      </w:r>
      <w:r w:rsidR="007F1652">
        <w:rPr>
          <w:rFonts w:ascii="Calibri" w:eastAsia="Times New Roman" w:hAnsi="Calibri" w:cs="Calibri"/>
          <w:sz w:val="24"/>
          <w:szCs w:val="20"/>
          <w:lang w:val="en-GB"/>
        </w:rPr>
        <w:t xml:space="preserve">. </w:t>
      </w:r>
      <w:r w:rsidR="00E563B4">
        <w:rPr>
          <w:rFonts w:ascii="Calibri" w:eastAsia="Times New Roman" w:hAnsi="Calibri" w:cs="Calibri"/>
          <w:sz w:val="24"/>
          <w:szCs w:val="20"/>
          <w:lang w:val="en-GB"/>
        </w:rPr>
        <w:t>The practitioner also provided cannabis to another, younger (14 years’ old), vulnerable person.</w:t>
      </w:r>
    </w:p>
    <w:p w14:paraId="7CA4D640" w14:textId="65EA3846" w:rsidR="00CB2372" w:rsidRDefault="00CB2372" w:rsidP="007D0BAB">
      <w:pPr>
        <w:numPr>
          <w:ilvl w:val="1"/>
          <w:numId w:val="1"/>
        </w:numPr>
        <w:tabs>
          <w:tab w:val="left" w:pos="709"/>
        </w:tabs>
        <w:spacing w:after="0" w:line="360" w:lineRule="auto"/>
        <w:ind w:left="1701" w:hanging="567"/>
        <w:contextualSpacing/>
        <w:jc w:val="both"/>
        <w:rPr>
          <w:rFonts w:ascii="Calibri" w:eastAsia="Times New Roman" w:hAnsi="Calibri" w:cs="Calibri"/>
          <w:sz w:val="24"/>
          <w:szCs w:val="20"/>
          <w:lang w:val="en-GB"/>
        </w:rPr>
      </w:pPr>
      <w:r w:rsidRPr="008F4C9F">
        <w:rPr>
          <w:rFonts w:ascii="Calibri" w:eastAsia="Times New Roman" w:hAnsi="Calibri" w:cs="Calibri"/>
          <w:i/>
          <w:iCs/>
          <w:sz w:val="24"/>
          <w:szCs w:val="20"/>
          <w:lang w:val="en-GB"/>
        </w:rPr>
        <w:t>Length of time</w:t>
      </w:r>
      <w:r>
        <w:rPr>
          <w:rFonts w:ascii="Calibri" w:eastAsia="Times New Roman" w:hAnsi="Calibri" w:cs="Calibri"/>
          <w:sz w:val="24"/>
          <w:szCs w:val="20"/>
          <w:lang w:val="en-GB"/>
        </w:rPr>
        <w:t>: the pra</w:t>
      </w:r>
      <w:r w:rsidR="004B4560">
        <w:rPr>
          <w:rFonts w:ascii="Calibri" w:eastAsia="Times New Roman" w:hAnsi="Calibri" w:cs="Calibri"/>
          <w:sz w:val="24"/>
          <w:szCs w:val="20"/>
          <w:lang w:val="en-GB"/>
        </w:rPr>
        <w:t>ctitioner met the victim in [ ]</w:t>
      </w:r>
      <w:r>
        <w:rPr>
          <w:rFonts w:ascii="Calibri" w:eastAsia="Times New Roman" w:hAnsi="Calibri" w:cs="Calibri"/>
          <w:sz w:val="24"/>
          <w:szCs w:val="20"/>
          <w:lang w:val="en-GB"/>
        </w:rPr>
        <w:t xml:space="preserve"> 2018 and the relationship </w:t>
      </w:r>
      <w:r w:rsidR="008F4C9F">
        <w:rPr>
          <w:rFonts w:ascii="Calibri" w:eastAsia="Times New Roman" w:hAnsi="Calibri" w:cs="Calibri"/>
          <w:sz w:val="24"/>
          <w:szCs w:val="20"/>
          <w:lang w:val="en-GB"/>
        </w:rPr>
        <w:t xml:space="preserve">was </w:t>
      </w:r>
      <w:r>
        <w:rPr>
          <w:rFonts w:ascii="Calibri" w:eastAsia="Times New Roman" w:hAnsi="Calibri" w:cs="Calibri"/>
          <w:sz w:val="24"/>
          <w:szCs w:val="20"/>
          <w:lang w:val="en-GB"/>
        </w:rPr>
        <w:t>established over several months. It was interrupted only after a disclosure was made.</w:t>
      </w:r>
    </w:p>
    <w:p w14:paraId="6E3848FA" w14:textId="33FAC315" w:rsidR="003D7E75" w:rsidRPr="00285939" w:rsidRDefault="003D7E75" w:rsidP="007D0BAB">
      <w:pPr>
        <w:numPr>
          <w:ilvl w:val="1"/>
          <w:numId w:val="1"/>
        </w:numPr>
        <w:tabs>
          <w:tab w:val="left" w:pos="709"/>
        </w:tabs>
        <w:spacing w:after="0" w:line="360" w:lineRule="auto"/>
        <w:ind w:left="1701" w:hanging="567"/>
        <w:contextualSpacing/>
        <w:jc w:val="both"/>
        <w:rPr>
          <w:rFonts w:ascii="Calibri" w:eastAsia="Times New Roman" w:hAnsi="Calibri" w:cs="Calibri"/>
          <w:sz w:val="24"/>
          <w:szCs w:val="20"/>
          <w:lang w:val="en-GB"/>
        </w:rPr>
      </w:pPr>
      <w:r w:rsidRPr="008F4C9F">
        <w:rPr>
          <w:rFonts w:ascii="Calibri" w:eastAsia="Times New Roman" w:hAnsi="Calibri" w:cs="Calibri"/>
          <w:i/>
          <w:iCs/>
          <w:sz w:val="24"/>
          <w:szCs w:val="20"/>
          <w:lang w:val="en-GB"/>
        </w:rPr>
        <w:t>Nature of relationship</w:t>
      </w:r>
      <w:r>
        <w:rPr>
          <w:rFonts w:ascii="Calibri" w:eastAsia="Times New Roman" w:hAnsi="Calibri" w:cs="Calibri"/>
          <w:sz w:val="24"/>
          <w:szCs w:val="20"/>
          <w:lang w:val="en-GB"/>
        </w:rPr>
        <w:t xml:space="preserve">: the PCC accepted that the practitioner did not have “a physical sexual relationship” </w:t>
      </w:r>
      <w:r w:rsidR="008F4C9F">
        <w:rPr>
          <w:rFonts w:ascii="Calibri" w:eastAsia="Times New Roman" w:hAnsi="Calibri" w:cs="Calibri"/>
          <w:sz w:val="24"/>
          <w:szCs w:val="20"/>
          <w:lang w:val="en-GB"/>
        </w:rPr>
        <w:t xml:space="preserve">(in that there was no evidence that sexual intercourse had occurred) </w:t>
      </w:r>
      <w:r>
        <w:rPr>
          <w:rFonts w:ascii="Calibri" w:eastAsia="Times New Roman" w:hAnsi="Calibri" w:cs="Calibri"/>
          <w:sz w:val="24"/>
          <w:szCs w:val="20"/>
          <w:lang w:val="en-GB"/>
        </w:rPr>
        <w:t>with the victim</w:t>
      </w:r>
      <w:r w:rsidR="00CA1EEA">
        <w:rPr>
          <w:rFonts w:ascii="Calibri" w:eastAsia="Times New Roman" w:hAnsi="Calibri" w:cs="Calibri"/>
          <w:sz w:val="24"/>
          <w:szCs w:val="20"/>
          <w:lang w:val="en-GB"/>
        </w:rPr>
        <w:t>. There was, however, physical contact in the form of hugging and kissing, sexualised communications</w:t>
      </w:r>
      <w:r w:rsidR="00525277">
        <w:rPr>
          <w:rFonts w:ascii="Calibri" w:eastAsia="Times New Roman" w:hAnsi="Calibri" w:cs="Calibri"/>
          <w:sz w:val="24"/>
          <w:szCs w:val="20"/>
          <w:lang w:val="en-GB"/>
        </w:rPr>
        <w:t>,</w:t>
      </w:r>
      <w:r w:rsidR="00CA1EEA">
        <w:rPr>
          <w:rFonts w:ascii="Calibri" w:eastAsia="Times New Roman" w:hAnsi="Calibri" w:cs="Calibri"/>
          <w:sz w:val="24"/>
          <w:szCs w:val="20"/>
          <w:lang w:val="en-GB"/>
        </w:rPr>
        <w:t xml:space="preserve"> and the exchange of nude photographs. While the Judge deemed the practitioner’s conduct to be “non-predatory” it would </w:t>
      </w:r>
      <w:r w:rsidR="0058182D">
        <w:rPr>
          <w:rFonts w:ascii="Calibri" w:eastAsia="Times New Roman" w:hAnsi="Calibri" w:cs="Calibri"/>
          <w:sz w:val="24"/>
          <w:szCs w:val="20"/>
          <w:lang w:val="en-GB"/>
        </w:rPr>
        <w:t xml:space="preserve">be </w:t>
      </w:r>
      <w:r w:rsidR="00CA1EEA">
        <w:rPr>
          <w:rFonts w:ascii="Calibri" w:eastAsia="Times New Roman" w:hAnsi="Calibri" w:cs="Calibri"/>
          <w:sz w:val="24"/>
          <w:szCs w:val="20"/>
          <w:lang w:val="en-GB"/>
        </w:rPr>
        <w:t>wrong to characterise the relationship as ‘non-sexual’.</w:t>
      </w:r>
    </w:p>
    <w:p w14:paraId="45FC3504" w14:textId="5C789CC8" w:rsidR="00285939" w:rsidRPr="00285939" w:rsidRDefault="00285939" w:rsidP="00285939">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sidRPr="00285939">
        <w:rPr>
          <w:rFonts w:ascii="Calibri" w:eastAsia="Times New Roman" w:hAnsi="Calibri" w:cs="Calibri"/>
          <w:sz w:val="24"/>
          <w:szCs w:val="20"/>
          <w:lang w:val="en-GB"/>
        </w:rPr>
        <w:t>The Tribunal accepts those are aggravating features. It considers that additional aggravating features are</w:t>
      </w:r>
      <w:r w:rsidR="00525277">
        <w:rPr>
          <w:rFonts w:ascii="Calibri" w:eastAsia="Times New Roman" w:hAnsi="Calibri" w:cs="Calibri"/>
          <w:sz w:val="24"/>
          <w:szCs w:val="20"/>
          <w:lang w:val="en-GB"/>
        </w:rPr>
        <w:t xml:space="preserve"> the fact that</w:t>
      </w:r>
      <w:r w:rsidR="0031082F">
        <w:rPr>
          <w:rFonts w:ascii="Calibri" w:eastAsia="Times New Roman" w:hAnsi="Calibri" w:cs="Calibri"/>
          <w:sz w:val="24"/>
          <w:szCs w:val="20"/>
          <w:lang w:val="en-GB"/>
        </w:rPr>
        <w:t xml:space="preserve"> </w:t>
      </w:r>
      <w:r w:rsidR="00C52842">
        <w:rPr>
          <w:rFonts w:ascii="Calibri" w:eastAsia="Times New Roman" w:hAnsi="Calibri" w:cs="Calibri"/>
          <w:sz w:val="24"/>
          <w:szCs w:val="20"/>
          <w:lang w:val="en-GB"/>
        </w:rPr>
        <w:t>the conduct</w:t>
      </w:r>
      <w:r w:rsidR="0031082F">
        <w:rPr>
          <w:rFonts w:ascii="Calibri" w:eastAsia="Times New Roman" w:hAnsi="Calibri" w:cs="Calibri"/>
          <w:sz w:val="24"/>
          <w:szCs w:val="20"/>
          <w:lang w:val="en-GB"/>
        </w:rPr>
        <w:t xml:space="preserve"> involved the misuse of power</w:t>
      </w:r>
      <w:r w:rsidR="00E63E28">
        <w:rPr>
          <w:rFonts w:ascii="Calibri" w:eastAsia="Times New Roman" w:hAnsi="Calibri" w:cs="Calibri"/>
          <w:sz w:val="24"/>
          <w:szCs w:val="20"/>
          <w:lang w:val="en-GB"/>
        </w:rPr>
        <w:t xml:space="preserve"> by a social worker</w:t>
      </w:r>
      <w:r w:rsidR="0031082F">
        <w:rPr>
          <w:rFonts w:ascii="Calibri" w:eastAsia="Times New Roman" w:hAnsi="Calibri" w:cs="Calibri"/>
          <w:sz w:val="24"/>
          <w:szCs w:val="20"/>
          <w:lang w:val="en-GB"/>
        </w:rPr>
        <w:t xml:space="preserve"> for personal gratification</w:t>
      </w:r>
      <w:r w:rsidR="00E63E28">
        <w:rPr>
          <w:rFonts w:ascii="Calibri" w:eastAsia="Times New Roman" w:hAnsi="Calibri" w:cs="Calibri"/>
          <w:sz w:val="24"/>
          <w:szCs w:val="20"/>
          <w:lang w:val="en-GB"/>
        </w:rPr>
        <w:t>.</w:t>
      </w:r>
      <w:r w:rsidRPr="00285939">
        <w:rPr>
          <w:rFonts w:ascii="Calibri" w:eastAsia="Times New Roman" w:hAnsi="Calibri" w:cs="Calibri"/>
          <w:sz w:val="24"/>
          <w:szCs w:val="20"/>
          <w:lang w:val="en-GB"/>
        </w:rPr>
        <w:t xml:space="preserve"> </w:t>
      </w:r>
      <w:r w:rsidR="00E63E28">
        <w:rPr>
          <w:rFonts w:ascii="Calibri" w:eastAsia="Times New Roman" w:hAnsi="Calibri" w:cs="Calibri"/>
          <w:sz w:val="24"/>
          <w:szCs w:val="20"/>
          <w:lang w:val="en-GB"/>
        </w:rPr>
        <w:t>In relation to the supply of cannabis</w:t>
      </w:r>
      <w:r w:rsidR="001F2E7F">
        <w:rPr>
          <w:rFonts w:ascii="Calibri" w:eastAsia="Times New Roman" w:hAnsi="Calibri" w:cs="Calibri"/>
          <w:sz w:val="24"/>
          <w:szCs w:val="20"/>
          <w:lang w:val="en-GB"/>
        </w:rPr>
        <w:t xml:space="preserve"> </w:t>
      </w:r>
      <w:r w:rsidR="00E63E28">
        <w:rPr>
          <w:rFonts w:ascii="Calibri" w:eastAsia="Times New Roman" w:hAnsi="Calibri" w:cs="Calibri"/>
          <w:sz w:val="24"/>
          <w:szCs w:val="20"/>
          <w:lang w:val="en-GB"/>
        </w:rPr>
        <w:t>the</w:t>
      </w:r>
      <w:r w:rsidR="002F189F">
        <w:rPr>
          <w:rFonts w:ascii="Calibri" w:eastAsia="Times New Roman" w:hAnsi="Calibri" w:cs="Calibri"/>
          <w:sz w:val="24"/>
          <w:szCs w:val="20"/>
          <w:lang w:val="en-GB"/>
        </w:rPr>
        <w:t xml:space="preserve"> practitioner</w:t>
      </w:r>
      <w:r w:rsidRPr="00285939">
        <w:rPr>
          <w:rFonts w:ascii="Calibri" w:eastAsia="Times New Roman" w:hAnsi="Calibri" w:cs="Calibri"/>
          <w:sz w:val="24"/>
          <w:szCs w:val="20"/>
          <w:lang w:val="en-GB"/>
        </w:rPr>
        <w:t xml:space="preserve"> was the adult responsible and</w:t>
      </w:r>
      <w:r w:rsidR="00D143FB">
        <w:rPr>
          <w:rFonts w:ascii="Calibri" w:eastAsia="Times New Roman" w:hAnsi="Calibri" w:cs="Calibri"/>
          <w:sz w:val="24"/>
          <w:szCs w:val="20"/>
          <w:lang w:val="en-GB"/>
        </w:rPr>
        <w:t xml:space="preserve"> a person who had a </w:t>
      </w:r>
      <w:r w:rsidR="00BA6EE2">
        <w:rPr>
          <w:rFonts w:ascii="Calibri" w:eastAsia="Times New Roman" w:hAnsi="Calibri" w:cs="Calibri"/>
          <w:sz w:val="24"/>
          <w:szCs w:val="20"/>
          <w:lang w:val="en-GB"/>
        </w:rPr>
        <w:t xml:space="preserve">decade-long </w:t>
      </w:r>
      <w:r w:rsidR="00D143FB">
        <w:rPr>
          <w:rFonts w:ascii="Calibri" w:eastAsia="Times New Roman" w:hAnsi="Calibri" w:cs="Calibri"/>
          <w:sz w:val="24"/>
          <w:szCs w:val="20"/>
          <w:lang w:val="en-GB"/>
        </w:rPr>
        <w:t>dependence on cannabis</w:t>
      </w:r>
      <w:r w:rsidR="00BA6EE2">
        <w:rPr>
          <w:rFonts w:ascii="Calibri" w:eastAsia="Times New Roman" w:hAnsi="Calibri" w:cs="Calibri"/>
          <w:sz w:val="24"/>
          <w:szCs w:val="20"/>
          <w:lang w:val="en-GB"/>
        </w:rPr>
        <w:t>. Sh</w:t>
      </w:r>
      <w:r w:rsidR="00E63E28">
        <w:rPr>
          <w:rFonts w:ascii="Calibri" w:eastAsia="Times New Roman" w:hAnsi="Calibri" w:cs="Calibri"/>
          <w:sz w:val="24"/>
          <w:szCs w:val="20"/>
          <w:lang w:val="en-GB"/>
        </w:rPr>
        <w:t xml:space="preserve">e </w:t>
      </w:r>
      <w:r w:rsidR="0079764C">
        <w:rPr>
          <w:rFonts w:ascii="Calibri" w:eastAsia="Times New Roman" w:hAnsi="Calibri" w:cs="Calibri"/>
          <w:sz w:val="24"/>
          <w:szCs w:val="20"/>
          <w:lang w:val="en-GB"/>
        </w:rPr>
        <w:t>must have known</w:t>
      </w:r>
      <w:r w:rsidRPr="00285939">
        <w:rPr>
          <w:rFonts w:ascii="Calibri" w:eastAsia="Times New Roman" w:hAnsi="Calibri" w:cs="Calibri"/>
          <w:sz w:val="24"/>
          <w:szCs w:val="20"/>
          <w:lang w:val="en-GB"/>
        </w:rPr>
        <w:t xml:space="preserve"> the dangers</w:t>
      </w:r>
      <w:r w:rsidR="004537BE">
        <w:rPr>
          <w:rFonts w:ascii="Calibri" w:eastAsia="Times New Roman" w:hAnsi="Calibri" w:cs="Calibri"/>
          <w:sz w:val="24"/>
          <w:szCs w:val="20"/>
          <w:lang w:val="en-GB"/>
        </w:rPr>
        <w:t xml:space="preserve"> for teenagers</w:t>
      </w:r>
      <w:r w:rsidRPr="00285939">
        <w:rPr>
          <w:rFonts w:ascii="Calibri" w:eastAsia="Times New Roman" w:hAnsi="Calibri" w:cs="Calibri"/>
          <w:sz w:val="24"/>
          <w:szCs w:val="20"/>
          <w:lang w:val="en-GB"/>
        </w:rPr>
        <w:t xml:space="preserve"> inherent in the drug</w:t>
      </w:r>
      <w:r w:rsidR="00BA6EE2">
        <w:rPr>
          <w:rFonts w:ascii="Calibri" w:eastAsia="Times New Roman" w:hAnsi="Calibri" w:cs="Calibri"/>
          <w:sz w:val="24"/>
          <w:szCs w:val="20"/>
          <w:lang w:val="en-GB"/>
        </w:rPr>
        <w:t xml:space="preserve"> and its addiction potential</w:t>
      </w:r>
      <w:r w:rsidR="004537BE">
        <w:rPr>
          <w:rFonts w:ascii="Calibri" w:eastAsia="Times New Roman" w:hAnsi="Calibri" w:cs="Calibri"/>
          <w:sz w:val="24"/>
          <w:szCs w:val="20"/>
          <w:lang w:val="en-GB"/>
        </w:rPr>
        <w:t>.</w:t>
      </w:r>
      <w:r w:rsidR="00883DB7">
        <w:rPr>
          <w:rFonts w:ascii="Calibri" w:eastAsia="Times New Roman" w:hAnsi="Calibri" w:cs="Calibri"/>
          <w:sz w:val="24"/>
          <w:szCs w:val="20"/>
          <w:lang w:val="en-GB"/>
        </w:rPr>
        <w:t xml:space="preserve"> </w:t>
      </w:r>
      <w:r w:rsidR="00741B0D">
        <w:rPr>
          <w:rFonts w:ascii="Calibri" w:eastAsia="Times New Roman" w:hAnsi="Calibri" w:cs="Calibri"/>
          <w:sz w:val="24"/>
          <w:szCs w:val="20"/>
          <w:lang w:val="en-GB"/>
        </w:rPr>
        <w:t xml:space="preserve">Further, when it became apparent to </w:t>
      </w:r>
      <w:r w:rsidR="00D2332D">
        <w:rPr>
          <w:rFonts w:ascii="Calibri" w:eastAsia="Times New Roman" w:hAnsi="Calibri" w:cs="Calibri"/>
          <w:sz w:val="24"/>
          <w:szCs w:val="20"/>
          <w:lang w:val="en-GB"/>
        </w:rPr>
        <w:t>the practitioner</w:t>
      </w:r>
      <w:r w:rsidR="00741B0D">
        <w:rPr>
          <w:rFonts w:ascii="Calibri" w:eastAsia="Times New Roman" w:hAnsi="Calibri" w:cs="Calibri"/>
          <w:sz w:val="24"/>
          <w:szCs w:val="20"/>
          <w:lang w:val="en-GB"/>
        </w:rPr>
        <w:t xml:space="preserve"> that her offending was under investigation by Police</w:t>
      </w:r>
      <w:r w:rsidR="009A580B">
        <w:rPr>
          <w:rFonts w:ascii="Calibri" w:eastAsia="Times New Roman" w:hAnsi="Calibri" w:cs="Calibri"/>
          <w:sz w:val="24"/>
          <w:szCs w:val="20"/>
          <w:lang w:val="en-GB"/>
        </w:rPr>
        <w:t>,</w:t>
      </w:r>
      <w:r w:rsidR="00741B0D">
        <w:rPr>
          <w:rFonts w:ascii="Calibri" w:eastAsia="Times New Roman" w:hAnsi="Calibri" w:cs="Calibri"/>
          <w:sz w:val="24"/>
          <w:szCs w:val="20"/>
          <w:lang w:val="en-GB"/>
        </w:rPr>
        <w:t xml:space="preserve"> she </w:t>
      </w:r>
      <w:r w:rsidR="00D46CBA">
        <w:rPr>
          <w:rFonts w:ascii="Calibri" w:eastAsia="Times New Roman" w:hAnsi="Calibri" w:cs="Calibri"/>
          <w:sz w:val="24"/>
          <w:szCs w:val="20"/>
          <w:lang w:val="en-GB"/>
        </w:rPr>
        <w:t>placed her victim in a situation whereby she was asking him to</w:t>
      </w:r>
      <w:r w:rsidR="00D2332D">
        <w:rPr>
          <w:rFonts w:ascii="Calibri" w:eastAsia="Times New Roman" w:hAnsi="Calibri" w:cs="Calibri"/>
          <w:sz w:val="24"/>
          <w:szCs w:val="20"/>
          <w:lang w:val="en-GB"/>
        </w:rPr>
        <w:t xml:space="preserve"> be dishonest</w:t>
      </w:r>
      <w:r w:rsidR="00D60639">
        <w:rPr>
          <w:rFonts w:ascii="Calibri" w:eastAsia="Times New Roman" w:hAnsi="Calibri" w:cs="Calibri"/>
          <w:sz w:val="24"/>
          <w:szCs w:val="20"/>
          <w:lang w:val="en-GB"/>
        </w:rPr>
        <w:t xml:space="preserve"> (lie) to</w:t>
      </w:r>
      <w:r w:rsidR="00D46CBA">
        <w:rPr>
          <w:rFonts w:ascii="Calibri" w:eastAsia="Times New Roman" w:hAnsi="Calibri" w:cs="Calibri"/>
          <w:sz w:val="24"/>
          <w:szCs w:val="20"/>
          <w:lang w:val="en-GB"/>
        </w:rPr>
        <w:t xml:space="preserve"> assist her to avoid </w:t>
      </w:r>
      <w:r w:rsidR="009A580B">
        <w:rPr>
          <w:rFonts w:ascii="Calibri" w:eastAsia="Times New Roman" w:hAnsi="Calibri" w:cs="Calibri"/>
          <w:sz w:val="24"/>
          <w:szCs w:val="20"/>
          <w:lang w:val="en-GB"/>
        </w:rPr>
        <w:t>detectio</w:t>
      </w:r>
      <w:r w:rsidR="00D60639">
        <w:rPr>
          <w:rFonts w:ascii="Calibri" w:eastAsia="Times New Roman" w:hAnsi="Calibri" w:cs="Calibri"/>
          <w:sz w:val="24"/>
          <w:szCs w:val="20"/>
          <w:lang w:val="en-GB"/>
        </w:rPr>
        <w:t>n</w:t>
      </w:r>
      <w:r w:rsidR="009A580B">
        <w:rPr>
          <w:rFonts w:ascii="Calibri" w:eastAsia="Times New Roman" w:hAnsi="Calibri" w:cs="Calibri"/>
          <w:sz w:val="24"/>
          <w:szCs w:val="20"/>
          <w:lang w:val="en-GB"/>
        </w:rPr>
        <w:t>. That conduct was hardly conduct one would expect from a professional social worker responsible</w:t>
      </w:r>
      <w:r w:rsidR="005821DB">
        <w:rPr>
          <w:rFonts w:ascii="Calibri" w:eastAsia="Times New Roman" w:hAnsi="Calibri" w:cs="Calibri"/>
          <w:sz w:val="24"/>
          <w:szCs w:val="20"/>
          <w:lang w:val="en-GB"/>
        </w:rPr>
        <w:t xml:space="preserve"> for</w:t>
      </w:r>
      <w:r w:rsidR="009A580B">
        <w:rPr>
          <w:rFonts w:ascii="Calibri" w:eastAsia="Times New Roman" w:hAnsi="Calibri" w:cs="Calibri"/>
          <w:sz w:val="24"/>
          <w:szCs w:val="20"/>
          <w:lang w:val="en-GB"/>
        </w:rPr>
        <w:t xml:space="preserve"> the care and protection needs of vulnerable youth</w:t>
      </w:r>
      <w:r w:rsidR="00D60639">
        <w:rPr>
          <w:rFonts w:ascii="Calibri" w:eastAsia="Times New Roman" w:hAnsi="Calibri" w:cs="Calibri"/>
          <w:sz w:val="24"/>
          <w:szCs w:val="20"/>
          <w:lang w:val="en-GB"/>
        </w:rPr>
        <w:t xml:space="preserve"> in State</w:t>
      </w:r>
      <w:r w:rsidR="00C95D9D">
        <w:rPr>
          <w:rFonts w:ascii="Calibri" w:eastAsia="Times New Roman" w:hAnsi="Calibri" w:cs="Calibri"/>
          <w:sz w:val="24"/>
          <w:szCs w:val="20"/>
          <w:lang w:val="en-GB"/>
        </w:rPr>
        <w:t xml:space="preserve"> </w:t>
      </w:r>
      <w:r w:rsidR="009A0273">
        <w:rPr>
          <w:rFonts w:ascii="Calibri" w:eastAsia="Times New Roman" w:hAnsi="Calibri" w:cs="Calibri"/>
          <w:sz w:val="24"/>
          <w:szCs w:val="20"/>
          <w:lang w:val="en-GB"/>
        </w:rPr>
        <w:t>C</w:t>
      </w:r>
      <w:r w:rsidR="00C95D9D">
        <w:rPr>
          <w:rFonts w:ascii="Calibri" w:eastAsia="Times New Roman" w:hAnsi="Calibri" w:cs="Calibri"/>
          <w:sz w:val="24"/>
          <w:szCs w:val="20"/>
          <w:lang w:val="en-GB"/>
        </w:rPr>
        <w:t>are</w:t>
      </w:r>
      <w:r w:rsidR="009A580B">
        <w:rPr>
          <w:rFonts w:ascii="Calibri" w:eastAsia="Times New Roman" w:hAnsi="Calibri" w:cs="Calibri"/>
          <w:sz w:val="24"/>
          <w:szCs w:val="20"/>
          <w:lang w:val="en-GB"/>
        </w:rPr>
        <w:t xml:space="preserve">. </w:t>
      </w:r>
    </w:p>
    <w:p w14:paraId="01813602" w14:textId="6FCB4641" w:rsidR="00285939" w:rsidRPr="00285939" w:rsidRDefault="00285939" w:rsidP="00A441D1">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sidRPr="00285939">
        <w:rPr>
          <w:rFonts w:ascii="Calibri" w:eastAsia="Times New Roman" w:hAnsi="Calibri" w:cs="Calibri"/>
          <w:sz w:val="24"/>
          <w:szCs w:val="20"/>
          <w:lang w:val="en-GB"/>
        </w:rPr>
        <w:t>The PCC advanced several mitigating factors</w:t>
      </w:r>
      <w:r w:rsidR="00A441D1">
        <w:rPr>
          <w:rFonts w:ascii="Calibri" w:eastAsia="Times New Roman" w:hAnsi="Calibri" w:cs="Calibri"/>
          <w:sz w:val="24"/>
          <w:szCs w:val="20"/>
          <w:lang w:val="en-GB"/>
        </w:rPr>
        <w:t>, with reference to the Sentencing Notes, the probation report, cultural report and the practitioner’s interview with the PCC</w:t>
      </w:r>
      <w:r w:rsidRPr="00285939">
        <w:rPr>
          <w:rFonts w:ascii="Calibri" w:eastAsia="Times New Roman" w:hAnsi="Calibri" w:cs="Calibri"/>
          <w:sz w:val="24"/>
          <w:szCs w:val="20"/>
          <w:lang w:val="en-GB"/>
        </w:rPr>
        <w:t xml:space="preserve">. </w:t>
      </w:r>
    </w:p>
    <w:p w14:paraId="5501A5D8" w14:textId="77777777" w:rsidR="00285939" w:rsidRPr="00285939" w:rsidRDefault="00285939" w:rsidP="00285939">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sidRPr="00285939">
        <w:rPr>
          <w:rFonts w:ascii="Calibri" w:eastAsia="Times New Roman" w:hAnsi="Calibri" w:cs="Calibri"/>
          <w:sz w:val="24"/>
          <w:szCs w:val="20"/>
          <w:lang w:val="en-GB"/>
        </w:rPr>
        <w:t>The mitigating factors referred to by the PCC were:</w:t>
      </w:r>
    </w:p>
    <w:p w14:paraId="3B44355F" w14:textId="5B59378F" w:rsidR="00285939" w:rsidRDefault="00EC7B32" w:rsidP="007D0BAB">
      <w:pPr>
        <w:numPr>
          <w:ilvl w:val="1"/>
          <w:numId w:val="1"/>
        </w:numPr>
        <w:tabs>
          <w:tab w:val="left" w:pos="709"/>
        </w:tabs>
        <w:spacing w:after="0" w:line="360" w:lineRule="auto"/>
        <w:ind w:left="1701" w:hanging="567"/>
        <w:contextualSpacing/>
        <w:jc w:val="both"/>
        <w:rPr>
          <w:rFonts w:ascii="Calibri" w:eastAsia="Times New Roman" w:hAnsi="Calibri" w:cs="Calibri"/>
          <w:sz w:val="24"/>
          <w:szCs w:val="20"/>
          <w:lang w:val="en-GB"/>
        </w:rPr>
      </w:pPr>
      <w:r>
        <w:rPr>
          <w:rFonts w:ascii="Calibri" w:eastAsia="Times New Roman" w:hAnsi="Calibri" w:cs="Calibri"/>
          <w:sz w:val="24"/>
          <w:szCs w:val="20"/>
          <w:lang w:val="en-GB"/>
        </w:rPr>
        <w:t xml:space="preserve">At the time of the offending the practitioner was a junior social worker with a caseload the PCC considered was “unacceptably high” for a provisionally registered social worker. She did not have the benefit of a supervisor for </w:t>
      </w:r>
      <w:r w:rsidR="00CF4E31">
        <w:rPr>
          <w:rFonts w:ascii="Calibri" w:eastAsia="Times New Roman" w:hAnsi="Calibri" w:cs="Calibri"/>
          <w:sz w:val="24"/>
          <w:szCs w:val="20"/>
          <w:lang w:val="en-GB"/>
        </w:rPr>
        <w:t>a period</w:t>
      </w:r>
      <w:r>
        <w:rPr>
          <w:rFonts w:ascii="Calibri" w:eastAsia="Times New Roman" w:hAnsi="Calibri" w:cs="Calibri"/>
          <w:sz w:val="24"/>
          <w:szCs w:val="20"/>
          <w:lang w:val="en-GB"/>
        </w:rPr>
        <w:t>. She was working in a demanding role and was receiving what the PCC considered</w:t>
      </w:r>
      <w:r w:rsidR="00543235">
        <w:rPr>
          <w:rFonts w:ascii="Calibri" w:eastAsia="Times New Roman" w:hAnsi="Calibri" w:cs="Calibri"/>
          <w:sz w:val="24"/>
          <w:szCs w:val="20"/>
          <w:lang w:val="en-GB"/>
        </w:rPr>
        <w:t xml:space="preserve"> was “woefully inadequate” </w:t>
      </w:r>
      <w:r w:rsidR="00CF4E31">
        <w:rPr>
          <w:rFonts w:ascii="Calibri" w:eastAsia="Times New Roman" w:hAnsi="Calibri" w:cs="Calibri"/>
          <w:sz w:val="24"/>
          <w:szCs w:val="20"/>
          <w:lang w:val="en-GB"/>
        </w:rPr>
        <w:t>sup</w:t>
      </w:r>
      <w:r w:rsidR="003C3380">
        <w:rPr>
          <w:rFonts w:ascii="Calibri" w:eastAsia="Times New Roman" w:hAnsi="Calibri" w:cs="Calibri"/>
          <w:sz w:val="24"/>
          <w:szCs w:val="20"/>
          <w:lang w:val="en-GB"/>
        </w:rPr>
        <w:t>port from her employer</w:t>
      </w:r>
      <w:r w:rsidR="00CF4E31">
        <w:rPr>
          <w:rFonts w:ascii="Calibri" w:eastAsia="Times New Roman" w:hAnsi="Calibri" w:cs="Calibri"/>
          <w:sz w:val="24"/>
          <w:szCs w:val="20"/>
          <w:lang w:val="en-GB"/>
        </w:rPr>
        <w:t xml:space="preserve"> </w:t>
      </w:r>
      <w:r w:rsidR="00CF4E31">
        <w:rPr>
          <w:rFonts w:ascii="Calibri" w:eastAsia="Times New Roman" w:hAnsi="Calibri" w:cs="Calibri"/>
          <w:sz w:val="24"/>
          <w:szCs w:val="20"/>
          <w:lang w:val="en-GB"/>
        </w:rPr>
        <w:lastRenderedPageBreak/>
        <w:t>which</w:t>
      </w:r>
      <w:r w:rsidR="00543235">
        <w:rPr>
          <w:rFonts w:ascii="Calibri" w:eastAsia="Times New Roman" w:hAnsi="Calibri" w:cs="Calibri"/>
          <w:sz w:val="24"/>
          <w:szCs w:val="20"/>
          <w:lang w:val="en-GB"/>
        </w:rPr>
        <w:t xml:space="preserve"> did not meet the Board’s expectations.</w:t>
      </w:r>
      <w:r w:rsidR="00543235">
        <w:rPr>
          <w:rStyle w:val="FootnoteReference"/>
          <w:rFonts w:ascii="Calibri" w:eastAsia="Times New Roman" w:hAnsi="Calibri" w:cs="Calibri"/>
          <w:sz w:val="24"/>
          <w:szCs w:val="20"/>
          <w:lang w:val="en-GB"/>
        </w:rPr>
        <w:footnoteReference w:id="29"/>
      </w:r>
      <w:r w:rsidR="001E4450">
        <w:rPr>
          <w:rFonts w:ascii="Calibri" w:eastAsia="Times New Roman" w:hAnsi="Calibri" w:cs="Calibri"/>
          <w:sz w:val="24"/>
          <w:szCs w:val="20"/>
          <w:lang w:val="en-GB"/>
        </w:rPr>
        <w:t xml:space="preserve"> The PCC accepted that this work pressure exposed the practitioner to a risk of burnout.</w:t>
      </w:r>
    </w:p>
    <w:p w14:paraId="6207AD2A" w14:textId="0134A77D" w:rsidR="001E4450" w:rsidRDefault="001E4450" w:rsidP="007D0BAB">
      <w:pPr>
        <w:numPr>
          <w:ilvl w:val="1"/>
          <w:numId w:val="1"/>
        </w:numPr>
        <w:tabs>
          <w:tab w:val="left" w:pos="709"/>
        </w:tabs>
        <w:spacing w:after="0" w:line="360" w:lineRule="auto"/>
        <w:ind w:left="1701" w:hanging="567"/>
        <w:contextualSpacing/>
        <w:jc w:val="both"/>
        <w:rPr>
          <w:rFonts w:ascii="Calibri" w:eastAsia="Times New Roman" w:hAnsi="Calibri" w:cs="Calibri"/>
          <w:sz w:val="24"/>
          <w:szCs w:val="20"/>
          <w:lang w:val="en-GB"/>
        </w:rPr>
      </w:pPr>
      <w:r>
        <w:rPr>
          <w:rFonts w:ascii="Calibri" w:eastAsia="Times New Roman" w:hAnsi="Calibri" w:cs="Calibri"/>
          <w:sz w:val="24"/>
          <w:szCs w:val="20"/>
          <w:lang w:val="en-GB"/>
        </w:rPr>
        <w:t>Also, the practitioner was suffering from personal and family stressors. The Judge described her as “drowning” and suffering from burnout. The PCC accepted those circumstances would have clouded her judgement.</w:t>
      </w:r>
    </w:p>
    <w:p w14:paraId="5C0A1A69" w14:textId="49228217" w:rsidR="001E4450" w:rsidRDefault="001A1D65" w:rsidP="007D0BAB">
      <w:pPr>
        <w:numPr>
          <w:ilvl w:val="1"/>
          <w:numId w:val="1"/>
        </w:numPr>
        <w:tabs>
          <w:tab w:val="left" w:pos="709"/>
        </w:tabs>
        <w:spacing w:after="0" w:line="360" w:lineRule="auto"/>
        <w:ind w:left="1701" w:hanging="567"/>
        <w:contextualSpacing/>
        <w:jc w:val="both"/>
        <w:rPr>
          <w:rFonts w:ascii="Calibri" w:eastAsia="Times New Roman" w:hAnsi="Calibri" w:cs="Calibri"/>
          <w:sz w:val="24"/>
          <w:szCs w:val="20"/>
          <w:lang w:val="en-GB"/>
        </w:rPr>
      </w:pPr>
      <w:r>
        <w:rPr>
          <w:rFonts w:ascii="Calibri" w:eastAsia="Times New Roman" w:hAnsi="Calibri" w:cs="Calibri"/>
          <w:sz w:val="24"/>
          <w:szCs w:val="20"/>
          <w:lang w:val="en-GB"/>
        </w:rPr>
        <w:t>The Judge assessed the practitioner as a low risk of re-offending (against children), evidenced by the Judge’s decision not to register her as a child sex offender.</w:t>
      </w:r>
    </w:p>
    <w:p w14:paraId="4BE590D5" w14:textId="54D68219" w:rsidR="001A1D65" w:rsidRDefault="001A1D65" w:rsidP="007D0BAB">
      <w:pPr>
        <w:numPr>
          <w:ilvl w:val="1"/>
          <w:numId w:val="1"/>
        </w:numPr>
        <w:tabs>
          <w:tab w:val="left" w:pos="709"/>
        </w:tabs>
        <w:spacing w:after="0" w:line="360" w:lineRule="auto"/>
        <w:ind w:left="1701" w:hanging="567"/>
        <w:contextualSpacing/>
        <w:jc w:val="both"/>
        <w:rPr>
          <w:rFonts w:ascii="Calibri" w:eastAsia="Times New Roman" w:hAnsi="Calibri" w:cs="Calibri"/>
          <w:sz w:val="24"/>
          <w:szCs w:val="20"/>
          <w:lang w:val="en-GB"/>
        </w:rPr>
      </w:pPr>
      <w:r>
        <w:rPr>
          <w:rFonts w:ascii="Calibri" w:eastAsia="Times New Roman" w:hAnsi="Calibri" w:cs="Calibri"/>
          <w:sz w:val="24"/>
          <w:szCs w:val="20"/>
          <w:lang w:val="en-GB"/>
        </w:rPr>
        <w:t>The practitioner pleaded guilty to the criminal charges and cooperated and engaged fully with the PCC process.</w:t>
      </w:r>
    </w:p>
    <w:p w14:paraId="4449D1B9" w14:textId="6DEAE32C" w:rsidR="001A1D65" w:rsidRDefault="008C2AB7" w:rsidP="007D0BAB">
      <w:pPr>
        <w:numPr>
          <w:ilvl w:val="1"/>
          <w:numId w:val="1"/>
        </w:numPr>
        <w:tabs>
          <w:tab w:val="left" w:pos="709"/>
        </w:tabs>
        <w:spacing w:after="0" w:line="360" w:lineRule="auto"/>
        <w:ind w:left="1701" w:hanging="567"/>
        <w:contextualSpacing/>
        <w:jc w:val="both"/>
        <w:rPr>
          <w:rFonts w:ascii="Calibri" w:eastAsia="Times New Roman" w:hAnsi="Calibri" w:cs="Calibri"/>
          <w:sz w:val="24"/>
          <w:szCs w:val="20"/>
          <w:lang w:val="en-GB"/>
        </w:rPr>
      </w:pPr>
      <w:r>
        <w:rPr>
          <w:rFonts w:ascii="Calibri" w:eastAsia="Times New Roman" w:hAnsi="Calibri" w:cs="Calibri"/>
          <w:sz w:val="24"/>
          <w:szCs w:val="20"/>
          <w:lang w:val="en-GB"/>
        </w:rPr>
        <w:t>She accepted her offending and has taken responsibility for it. She has demonstrated insight and remorse into her offending.</w:t>
      </w:r>
    </w:p>
    <w:p w14:paraId="6719FB8E" w14:textId="591664F7" w:rsidR="008C2AB7" w:rsidRDefault="000861FA" w:rsidP="007D0BAB">
      <w:pPr>
        <w:numPr>
          <w:ilvl w:val="1"/>
          <w:numId w:val="1"/>
        </w:numPr>
        <w:tabs>
          <w:tab w:val="left" w:pos="709"/>
        </w:tabs>
        <w:spacing w:after="0" w:line="360" w:lineRule="auto"/>
        <w:ind w:left="1701" w:hanging="567"/>
        <w:contextualSpacing/>
        <w:jc w:val="both"/>
        <w:rPr>
          <w:rFonts w:ascii="Calibri" w:eastAsia="Times New Roman" w:hAnsi="Calibri" w:cs="Calibri"/>
          <w:sz w:val="24"/>
          <w:szCs w:val="20"/>
          <w:lang w:val="en-GB"/>
        </w:rPr>
      </w:pPr>
      <w:r>
        <w:rPr>
          <w:rFonts w:ascii="Calibri" w:eastAsia="Times New Roman" w:hAnsi="Calibri" w:cs="Calibri"/>
          <w:sz w:val="24"/>
          <w:szCs w:val="20"/>
          <w:lang w:val="en-GB"/>
        </w:rPr>
        <w:t>Post the offending the practitioner attended counselling and completed her home detention sentence. She has “ended a decade long reliance on cannabis, commenced further education, and has engaged with SAFE”.</w:t>
      </w:r>
    </w:p>
    <w:p w14:paraId="311A1B4F" w14:textId="77777777" w:rsidR="0058182D" w:rsidRPr="00285939" w:rsidRDefault="0058182D" w:rsidP="007D0BAB">
      <w:pPr>
        <w:tabs>
          <w:tab w:val="left" w:pos="709"/>
        </w:tabs>
        <w:spacing w:after="0" w:line="360" w:lineRule="auto"/>
        <w:ind w:left="1701"/>
        <w:contextualSpacing/>
        <w:jc w:val="both"/>
        <w:rPr>
          <w:rFonts w:ascii="Calibri" w:eastAsia="Times New Roman" w:hAnsi="Calibri" w:cs="Calibri"/>
          <w:sz w:val="24"/>
          <w:szCs w:val="20"/>
          <w:lang w:val="en-GB"/>
        </w:rPr>
      </w:pPr>
    </w:p>
    <w:p w14:paraId="56519612" w14:textId="48B92D68" w:rsidR="00285939" w:rsidRDefault="00285939" w:rsidP="00285939">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sidRPr="00285939">
        <w:rPr>
          <w:rFonts w:ascii="Calibri" w:eastAsia="Times New Roman" w:hAnsi="Calibri" w:cs="Calibri"/>
          <w:sz w:val="24"/>
          <w:szCs w:val="20"/>
          <w:lang w:val="en-GB"/>
        </w:rPr>
        <w:t xml:space="preserve">It was submitted for the PCC that </w:t>
      </w:r>
      <w:r w:rsidR="0059403C">
        <w:rPr>
          <w:rFonts w:ascii="Calibri" w:eastAsia="Times New Roman" w:hAnsi="Calibri" w:cs="Calibri"/>
          <w:sz w:val="24"/>
          <w:szCs w:val="20"/>
          <w:lang w:val="en-GB"/>
        </w:rPr>
        <w:t>this was a case where the Tribunal would be justified in imposing the most serious outcome. Even taking into account the mitigating factors and the work the practitioner has done since the offending, it was submitted that the level of inappropriate relations, the age difference between the practitioner and her victim, the provision of illegal drugs to two young people, the vulnerability of the victim and the abuse of trust “justifies an outcome at the upper end of the scale</w:t>
      </w:r>
      <w:r w:rsidR="008C171D">
        <w:rPr>
          <w:rFonts w:ascii="Calibri" w:eastAsia="Times New Roman" w:hAnsi="Calibri" w:cs="Calibri"/>
          <w:sz w:val="24"/>
          <w:szCs w:val="20"/>
          <w:lang w:val="en-GB"/>
        </w:rPr>
        <w:t>”</w:t>
      </w:r>
      <w:r w:rsidR="0059403C">
        <w:rPr>
          <w:rFonts w:ascii="Calibri" w:eastAsia="Times New Roman" w:hAnsi="Calibri" w:cs="Calibri"/>
          <w:sz w:val="24"/>
          <w:szCs w:val="20"/>
          <w:lang w:val="en-GB"/>
        </w:rPr>
        <w:t xml:space="preserve">. </w:t>
      </w:r>
      <w:r w:rsidR="008E3525">
        <w:rPr>
          <w:rFonts w:ascii="Calibri" w:eastAsia="Times New Roman" w:hAnsi="Calibri" w:cs="Calibri"/>
          <w:sz w:val="24"/>
          <w:szCs w:val="20"/>
          <w:lang w:val="en-GB"/>
        </w:rPr>
        <w:t xml:space="preserve"> </w:t>
      </w:r>
    </w:p>
    <w:p w14:paraId="3DABC423" w14:textId="70CD1818" w:rsidR="008E3525" w:rsidRPr="00AF29E2" w:rsidRDefault="008E3525" w:rsidP="00285939">
      <w:pPr>
        <w:numPr>
          <w:ilvl w:val="0"/>
          <w:numId w:val="1"/>
        </w:numPr>
        <w:tabs>
          <w:tab w:val="left" w:pos="709"/>
        </w:tabs>
        <w:spacing w:after="0" w:line="360" w:lineRule="auto"/>
        <w:ind w:left="567" w:hanging="567"/>
        <w:contextualSpacing/>
        <w:jc w:val="both"/>
        <w:rPr>
          <w:rFonts w:ascii="Calibri" w:eastAsia="Times New Roman" w:hAnsi="Calibri" w:cs="Calibri"/>
          <w:i/>
          <w:iCs/>
          <w:sz w:val="24"/>
          <w:szCs w:val="20"/>
          <w:lang w:val="en-GB"/>
        </w:rPr>
      </w:pPr>
      <w:r>
        <w:rPr>
          <w:rFonts w:ascii="Calibri" w:eastAsia="Times New Roman" w:hAnsi="Calibri" w:cs="Calibri"/>
          <w:sz w:val="24"/>
          <w:szCs w:val="20"/>
          <w:lang w:val="en-GB"/>
        </w:rPr>
        <w:t>Counsel for the PCC submitted that this case can be distinguished from the previous Tribunal cases where inappropriate relationships and boundary breaches have been reviewed. This case involved sexual offending from a criminal perspective and certainly a “romantic element”.</w:t>
      </w:r>
      <w:r w:rsidR="003D783E">
        <w:rPr>
          <w:rFonts w:ascii="Calibri" w:eastAsia="Times New Roman" w:hAnsi="Calibri" w:cs="Calibri"/>
          <w:sz w:val="24"/>
          <w:szCs w:val="20"/>
          <w:lang w:val="en-GB"/>
        </w:rPr>
        <w:t xml:space="preserve"> </w:t>
      </w:r>
      <w:r w:rsidR="00B73D1C">
        <w:rPr>
          <w:rFonts w:ascii="Calibri" w:eastAsia="Times New Roman" w:hAnsi="Calibri" w:cs="Calibri"/>
          <w:sz w:val="24"/>
          <w:szCs w:val="20"/>
          <w:lang w:val="en-GB"/>
        </w:rPr>
        <w:t>U</w:t>
      </w:r>
      <w:r w:rsidR="003D783E">
        <w:rPr>
          <w:rFonts w:ascii="Calibri" w:eastAsia="Times New Roman" w:hAnsi="Calibri" w:cs="Calibri"/>
          <w:sz w:val="24"/>
          <w:szCs w:val="20"/>
          <w:lang w:val="en-GB"/>
        </w:rPr>
        <w:t xml:space="preserve">nlike </w:t>
      </w:r>
      <w:r w:rsidR="003D783E" w:rsidRPr="003D783E">
        <w:rPr>
          <w:rFonts w:ascii="Calibri" w:eastAsia="Times New Roman" w:hAnsi="Calibri" w:cs="Calibri"/>
          <w:i/>
          <w:iCs/>
          <w:sz w:val="24"/>
          <w:szCs w:val="20"/>
          <w:lang w:val="en-GB"/>
        </w:rPr>
        <w:t>RSW Harrison</w:t>
      </w:r>
      <w:r w:rsidR="003D783E">
        <w:rPr>
          <w:rFonts w:ascii="Calibri" w:eastAsia="Times New Roman" w:hAnsi="Calibri" w:cs="Calibri"/>
          <w:i/>
          <w:iCs/>
          <w:sz w:val="24"/>
          <w:szCs w:val="20"/>
          <w:lang w:val="en-GB"/>
        </w:rPr>
        <w:t xml:space="preserve"> </w:t>
      </w:r>
      <w:r w:rsidR="003D783E">
        <w:rPr>
          <w:rFonts w:ascii="Calibri" w:eastAsia="Times New Roman" w:hAnsi="Calibri" w:cs="Calibri"/>
          <w:sz w:val="24"/>
          <w:szCs w:val="20"/>
          <w:lang w:val="en-GB"/>
        </w:rPr>
        <w:t>the practitioner was new to the social work profession</w:t>
      </w:r>
      <w:r w:rsidR="00B73D1C">
        <w:rPr>
          <w:rFonts w:ascii="Calibri" w:eastAsia="Times New Roman" w:hAnsi="Calibri" w:cs="Calibri"/>
          <w:sz w:val="24"/>
          <w:szCs w:val="20"/>
          <w:lang w:val="en-GB"/>
        </w:rPr>
        <w:t xml:space="preserve"> however</w:t>
      </w:r>
      <w:r w:rsidR="003D783E">
        <w:rPr>
          <w:rFonts w:ascii="Calibri" w:eastAsia="Times New Roman" w:hAnsi="Calibri" w:cs="Calibri"/>
          <w:sz w:val="24"/>
          <w:szCs w:val="20"/>
          <w:lang w:val="en-GB"/>
        </w:rPr>
        <w:t xml:space="preserve"> it was submitted that engaging in a relationship with</w:t>
      </w:r>
      <w:r w:rsidR="00B73D1C">
        <w:rPr>
          <w:rFonts w:ascii="Calibri" w:eastAsia="Times New Roman" w:hAnsi="Calibri" w:cs="Calibri"/>
          <w:sz w:val="24"/>
          <w:szCs w:val="20"/>
          <w:lang w:val="en-GB"/>
        </w:rPr>
        <w:t xml:space="preserve"> a client</w:t>
      </w:r>
      <w:r w:rsidR="003D783E">
        <w:rPr>
          <w:rFonts w:ascii="Calibri" w:eastAsia="Times New Roman" w:hAnsi="Calibri" w:cs="Calibri"/>
          <w:sz w:val="24"/>
          <w:szCs w:val="20"/>
          <w:lang w:val="en-GB"/>
        </w:rPr>
        <w:t xml:space="preserve"> and supplying drugs to a young person is an obvious and clear breach and the practitioner </w:t>
      </w:r>
      <w:r w:rsidR="003D783E">
        <w:rPr>
          <w:rFonts w:ascii="Calibri" w:eastAsia="Times New Roman" w:hAnsi="Calibri" w:cs="Calibri"/>
          <w:sz w:val="24"/>
          <w:szCs w:val="20"/>
          <w:lang w:val="en-GB"/>
        </w:rPr>
        <w:lastRenderedPageBreak/>
        <w:t xml:space="preserve">would have known even </w:t>
      </w:r>
      <w:r w:rsidR="00712E72">
        <w:rPr>
          <w:rFonts w:ascii="Calibri" w:eastAsia="Times New Roman" w:hAnsi="Calibri" w:cs="Calibri"/>
          <w:sz w:val="24"/>
          <w:szCs w:val="20"/>
          <w:lang w:val="en-GB"/>
        </w:rPr>
        <w:t>as an inexperienced social worker that</w:t>
      </w:r>
      <w:r w:rsidR="003D783E">
        <w:rPr>
          <w:rFonts w:ascii="Calibri" w:eastAsia="Times New Roman" w:hAnsi="Calibri" w:cs="Calibri"/>
          <w:sz w:val="24"/>
          <w:szCs w:val="20"/>
          <w:lang w:val="en-GB"/>
        </w:rPr>
        <w:t xml:space="preserve"> such conduct was inappropriate for a social worker.</w:t>
      </w:r>
      <w:r w:rsidR="00712E72">
        <w:rPr>
          <w:rFonts w:ascii="Calibri" w:eastAsia="Times New Roman" w:hAnsi="Calibri" w:cs="Calibri"/>
          <w:sz w:val="24"/>
          <w:szCs w:val="20"/>
          <w:lang w:val="en-GB"/>
        </w:rPr>
        <w:t xml:space="preserve"> The Tribunal agreed with those submissions.</w:t>
      </w:r>
    </w:p>
    <w:p w14:paraId="74D7BA98" w14:textId="4888BC11" w:rsidR="00AF29E2" w:rsidRPr="00567005" w:rsidRDefault="00AF29E2" w:rsidP="00285939">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Pr>
          <w:rFonts w:ascii="Calibri" w:eastAsia="Times New Roman" w:hAnsi="Calibri" w:cs="Calibri"/>
          <w:sz w:val="24"/>
          <w:szCs w:val="20"/>
          <w:lang w:val="en-GB"/>
        </w:rPr>
        <w:t xml:space="preserve">It was submitted that conduct of the type </w:t>
      </w:r>
      <w:r w:rsidR="00EA29FB">
        <w:rPr>
          <w:rFonts w:ascii="Calibri" w:eastAsia="Times New Roman" w:hAnsi="Calibri" w:cs="Calibri"/>
          <w:sz w:val="24"/>
          <w:szCs w:val="20"/>
          <w:lang w:val="en-GB"/>
        </w:rPr>
        <w:t xml:space="preserve">that led to the convictions </w:t>
      </w:r>
      <w:r>
        <w:rPr>
          <w:rFonts w:ascii="Calibri" w:eastAsia="Times New Roman" w:hAnsi="Calibri" w:cs="Calibri"/>
          <w:sz w:val="24"/>
          <w:szCs w:val="20"/>
          <w:lang w:val="en-GB"/>
        </w:rPr>
        <w:t xml:space="preserve">the Tribunal has </w:t>
      </w:r>
      <w:r w:rsidR="00EA29FB">
        <w:rPr>
          <w:rFonts w:ascii="Calibri" w:eastAsia="Times New Roman" w:hAnsi="Calibri" w:cs="Calibri"/>
          <w:sz w:val="24"/>
          <w:szCs w:val="20"/>
          <w:lang w:val="en-GB"/>
        </w:rPr>
        <w:t xml:space="preserve">considered in this case warrants “a serious response” in order to fulfil the dual purposes of protecting the safety of the public and enhancement of the professionalism of social workers. </w:t>
      </w:r>
      <w:r w:rsidR="008B3797">
        <w:rPr>
          <w:rFonts w:ascii="Calibri" w:eastAsia="Times New Roman" w:hAnsi="Calibri" w:cs="Calibri"/>
          <w:sz w:val="24"/>
          <w:szCs w:val="20"/>
          <w:lang w:val="en-GB"/>
        </w:rPr>
        <w:t>For those reasons</w:t>
      </w:r>
      <w:r w:rsidR="00C14867">
        <w:rPr>
          <w:rFonts w:ascii="Calibri" w:eastAsia="Times New Roman" w:hAnsi="Calibri" w:cs="Calibri"/>
          <w:sz w:val="24"/>
          <w:szCs w:val="20"/>
          <w:lang w:val="en-GB"/>
        </w:rPr>
        <w:t>,</w:t>
      </w:r>
      <w:r w:rsidR="008B3797">
        <w:rPr>
          <w:rFonts w:ascii="Calibri" w:eastAsia="Times New Roman" w:hAnsi="Calibri" w:cs="Calibri"/>
          <w:sz w:val="24"/>
          <w:szCs w:val="20"/>
          <w:lang w:val="en-GB"/>
        </w:rPr>
        <w:t xml:space="preserve"> an order cancelling the practitioner’s registration was sought.</w:t>
      </w:r>
    </w:p>
    <w:p w14:paraId="7ACF1C7D" w14:textId="77777777" w:rsidR="00C072B4" w:rsidRPr="00285939" w:rsidRDefault="00C072B4" w:rsidP="00C072B4">
      <w:pPr>
        <w:tabs>
          <w:tab w:val="left" w:pos="709"/>
        </w:tabs>
        <w:spacing w:after="0" w:line="360" w:lineRule="auto"/>
        <w:ind w:left="567"/>
        <w:contextualSpacing/>
        <w:jc w:val="both"/>
        <w:rPr>
          <w:rFonts w:ascii="Calibri" w:eastAsia="Times New Roman" w:hAnsi="Calibri" w:cs="Calibri"/>
          <w:sz w:val="24"/>
          <w:szCs w:val="20"/>
          <w:lang w:val="en-GB"/>
        </w:rPr>
      </w:pPr>
    </w:p>
    <w:p w14:paraId="63285F25" w14:textId="77777777" w:rsidR="00285939" w:rsidRPr="00285939" w:rsidRDefault="00285939" w:rsidP="00285939">
      <w:pPr>
        <w:tabs>
          <w:tab w:val="left" w:pos="709"/>
        </w:tabs>
        <w:spacing w:after="0" w:line="360" w:lineRule="auto"/>
        <w:contextualSpacing/>
        <w:jc w:val="both"/>
        <w:rPr>
          <w:rFonts w:ascii="Calibri" w:eastAsia="Times New Roman" w:hAnsi="Calibri" w:cs="Calibri"/>
          <w:i/>
          <w:iCs/>
          <w:sz w:val="24"/>
          <w:szCs w:val="20"/>
          <w:lang w:val="en-GB"/>
        </w:rPr>
      </w:pPr>
      <w:r w:rsidRPr="00285939">
        <w:rPr>
          <w:rFonts w:ascii="Calibri" w:eastAsia="Times New Roman" w:hAnsi="Calibri" w:cs="Calibri"/>
          <w:i/>
          <w:iCs/>
          <w:sz w:val="24"/>
          <w:szCs w:val="20"/>
          <w:lang w:val="en-GB"/>
        </w:rPr>
        <w:t>Discussion</w:t>
      </w:r>
    </w:p>
    <w:p w14:paraId="06CB36EA" w14:textId="5CDDC056" w:rsidR="00F21D23" w:rsidRPr="00ED159E" w:rsidRDefault="00AF2893" w:rsidP="00ED159E">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Pr>
          <w:rFonts w:ascii="Calibri" w:eastAsia="Times New Roman" w:hAnsi="Calibri" w:cs="Calibri"/>
          <w:sz w:val="24"/>
          <w:szCs w:val="20"/>
          <w:lang w:val="en-GB"/>
        </w:rPr>
        <w:t>All of t</w:t>
      </w:r>
      <w:r w:rsidR="00F21D23">
        <w:rPr>
          <w:rFonts w:ascii="Calibri" w:eastAsia="Times New Roman" w:hAnsi="Calibri" w:cs="Calibri"/>
          <w:sz w:val="24"/>
          <w:szCs w:val="20"/>
          <w:lang w:val="en-GB"/>
        </w:rPr>
        <w:t>he conduct was carried out in the context of the practitioner’s role as a social worker including the sexual grooming, the inappropriate relationship, the sexualised messaging, the supply of cannabis and the attempt to pervert the course of justice. As identified, a feature of the offending has been a significant misuse of power for personal gratification.</w:t>
      </w:r>
    </w:p>
    <w:p w14:paraId="1ED6F445" w14:textId="69EB7BC1" w:rsidR="00285939" w:rsidRPr="00285939" w:rsidRDefault="00285939" w:rsidP="00285939">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sidRPr="00285939">
        <w:rPr>
          <w:rFonts w:ascii="Calibri" w:eastAsia="Times New Roman" w:hAnsi="Calibri" w:cs="Calibri"/>
          <w:sz w:val="24"/>
          <w:szCs w:val="20"/>
          <w:lang w:val="en-GB"/>
        </w:rPr>
        <w:t>Taking all factors into account the Tribunal considered that the convictions it has reviewed in this case and the circumstances of the offending are at the most se</w:t>
      </w:r>
      <w:r w:rsidR="005D36D8">
        <w:rPr>
          <w:rFonts w:ascii="Calibri" w:eastAsia="Times New Roman" w:hAnsi="Calibri" w:cs="Calibri"/>
          <w:sz w:val="24"/>
          <w:szCs w:val="20"/>
          <w:lang w:val="en-GB"/>
        </w:rPr>
        <w:t>rious</w:t>
      </w:r>
      <w:r w:rsidRPr="00285939">
        <w:rPr>
          <w:rFonts w:ascii="Calibri" w:eastAsia="Times New Roman" w:hAnsi="Calibri" w:cs="Calibri"/>
          <w:sz w:val="24"/>
          <w:szCs w:val="20"/>
          <w:lang w:val="en-GB"/>
        </w:rPr>
        <w:t xml:space="preserve"> end of the spectrum in terms of conduct on the part of a registered social worker that requires disciplinary sanction.</w:t>
      </w:r>
    </w:p>
    <w:p w14:paraId="3765CF23" w14:textId="35496BCD" w:rsidR="00285939" w:rsidRPr="00285939" w:rsidRDefault="00285939" w:rsidP="00285939">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sidRPr="00285939">
        <w:rPr>
          <w:rFonts w:ascii="Calibri" w:eastAsia="Times New Roman" w:hAnsi="Calibri" w:cs="Calibri"/>
          <w:sz w:val="24"/>
          <w:szCs w:val="20"/>
          <w:lang w:val="en-GB"/>
        </w:rPr>
        <w:t>The Tribunal has carefully considered whether there are any alternatives to cancellation of registration which would achieve the objectives of protecting the public and maintaining the standards of the social work profession. The Tribunal has concluded that there are no alternatives to</w:t>
      </w:r>
      <w:r w:rsidR="003F31A7">
        <w:rPr>
          <w:rFonts w:ascii="Calibri" w:eastAsia="Times New Roman" w:hAnsi="Calibri" w:cs="Calibri"/>
          <w:sz w:val="24"/>
          <w:szCs w:val="20"/>
          <w:lang w:val="en-GB"/>
        </w:rPr>
        <w:t xml:space="preserve"> </w:t>
      </w:r>
      <w:r w:rsidRPr="00285939">
        <w:rPr>
          <w:rFonts w:ascii="Calibri" w:eastAsia="Times New Roman" w:hAnsi="Calibri" w:cs="Calibri"/>
          <w:sz w:val="24"/>
          <w:szCs w:val="20"/>
          <w:lang w:val="en-GB"/>
        </w:rPr>
        <w:t xml:space="preserve">cancellation of registration. Under no circumstances can conduct of the nature </w:t>
      </w:r>
      <w:r w:rsidR="003F31A7">
        <w:rPr>
          <w:rFonts w:ascii="Calibri" w:eastAsia="Times New Roman" w:hAnsi="Calibri" w:cs="Calibri"/>
          <w:sz w:val="24"/>
          <w:szCs w:val="20"/>
          <w:lang w:val="en-GB"/>
        </w:rPr>
        <w:t>the practitioner</w:t>
      </w:r>
      <w:r w:rsidRPr="00285939">
        <w:rPr>
          <w:rFonts w:ascii="Calibri" w:eastAsia="Times New Roman" w:hAnsi="Calibri" w:cs="Calibri"/>
          <w:sz w:val="24"/>
          <w:szCs w:val="20"/>
          <w:lang w:val="en-GB"/>
        </w:rPr>
        <w:t xml:space="preserve"> has engaged in and been convicted for, be tolerated in the social work profession. The public requires protection from </w:t>
      </w:r>
      <w:r w:rsidR="00710815">
        <w:rPr>
          <w:rFonts w:ascii="Calibri" w:eastAsia="Times New Roman" w:hAnsi="Calibri" w:cs="Calibri"/>
          <w:sz w:val="24"/>
          <w:szCs w:val="20"/>
          <w:lang w:val="en-GB"/>
        </w:rPr>
        <w:t>the practitioner</w:t>
      </w:r>
      <w:r w:rsidRPr="00285939">
        <w:rPr>
          <w:rFonts w:ascii="Calibri" w:eastAsia="Times New Roman" w:hAnsi="Calibri" w:cs="Calibri"/>
          <w:sz w:val="24"/>
          <w:szCs w:val="20"/>
          <w:lang w:val="en-GB"/>
        </w:rPr>
        <w:t xml:space="preserve"> and a strong message must be sent to other social workers that</w:t>
      </w:r>
      <w:r w:rsidR="00710815">
        <w:rPr>
          <w:rFonts w:ascii="Calibri" w:eastAsia="Times New Roman" w:hAnsi="Calibri" w:cs="Calibri"/>
          <w:sz w:val="24"/>
          <w:szCs w:val="20"/>
          <w:lang w:val="en-GB"/>
        </w:rPr>
        <w:t xml:space="preserve"> engaging in an inappropriate relationship with a young person </w:t>
      </w:r>
      <w:r w:rsidR="0089135E">
        <w:rPr>
          <w:rFonts w:ascii="Calibri" w:eastAsia="Times New Roman" w:hAnsi="Calibri" w:cs="Calibri"/>
          <w:sz w:val="24"/>
          <w:szCs w:val="20"/>
          <w:lang w:val="en-GB"/>
        </w:rPr>
        <w:t>who is in the</w:t>
      </w:r>
      <w:r w:rsidR="00710815">
        <w:rPr>
          <w:rFonts w:ascii="Calibri" w:eastAsia="Times New Roman" w:hAnsi="Calibri" w:cs="Calibri"/>
          <w:sz w:val="24"/>
          <w:szCs w:val="20"/>
          <w:lang w:val="en-GB"/>
        </w:rPr>
        <w:t xml:space="preserve"> care and protection of the State,</w:t>
      </w:r>
      <w:r w:rsidR="00C22732">
        <w:rPr>
          <w:rFonts w:ascii="Calibri" w:eastAsia="Times New Roman" w:hAnsi="Calibri" w:cs="Calibri"/>
          <w:sz w:val="24"/>
          <w:szCs w:val="20"/>
          <w:lang w:val="en-GB"/>
        </w:rPr>
        <w:t xml:space="preserve"> combined with</w:t>
      </w:r>
      <w:r w:rsidRPr="00285939">
        <w:rPr>
          <w:rFonts w:ascii="Calibri" w:eastAsia="Times New Roman" w:hAnsi="Calibri" w:cs="Calibri"/>
          <w:sz w:val="24"/>
          <w:szCs w:val="20"/>
          <w:lang w:val="en-GB"/>
        </w:rPr>
        <w:t xml:space="preserve"> supplying a</w:t>
      </w:r>
      <w:r w:rsidR="00C22732">
        <w:rPr>
          <w:rFonts w:ascii="Calibri" w:eastAsia="Times New Roman" w:hAnsi="Calibri" w:cs="Calibri"/>
          <w:sz w:val="24"/>
          <w:szCs w:val="20"/>
          <w:lang w:val="en-GB"/>
        </w:rPr>
        <w:t>n illegal drug like cannabis</w:t>
      </w:r>
      <w:r w:rsidRPr="00285939">
        <w:rPr>
          <w:rFonts w:ascii="Calibri" w:eastAsia="Times New Roman" w:hAnsi="Calibri" w:cs="Calibri"/>
          <w:sz w:val="24"/>
          <w:szCs w:val="20"/>
          <w:lang w:val="en-GB"/>
        </w:rPr>
        <w:t xml:space="preserve"> to</w:t>
      </w:r>
      <w:r w:rsidR="0089135E">
        <w:rPr>
          <w:rFonts w:ascii="Calibri" w:eastAsia="Times New Roman" w:hAnsi="Calibri" w:cs="Calibri"/>
          <w:sz w:val="24"/>
          <w:szCs w:val="20"/>
          <w:lang w:val="en-GB"/>
        </w:rPr>
        <w:t xml:space="preserve"> such </w:t>
      </w:r>
      <w:r w:rsidR="000C7143">
        <w:rPr>
          <w:rFonts w:ascii="Calibri" w:eastAsia="Times New Roman" w:hAnsi="Calibri" w:cs="Calibri"/>
          <w:sz w:val="24"/>
          <w:szCs w:val="20"/>
          <w:lang w:val="en-GB"/>
        </w:rPr>
        <w:t>persons</w:t>
      </w:r>
      <w:r w:rsidR="0089135E">
        <w:rPr>
          <w:rFonts w:ascii="Calibri" w:eastAsia="Times New Roman" w:hAnsi="Calibri" w:cs="Calibri"/>
          <w:sz w:val="24"/>
          <w:szCs w:val="20"/>
          <w:lang w:val="en-GB"/>
        </w:rPr>
        <w:t>,</w:t>
      </w:r>
      <w:r w:rsidRPr="00285939">
        <w:rPr>
          <w:rFonts w:ascii="Calibri" w:eastAsia="Times New Roman" w:hAnsi="Calibri" w:cs="Calibri"/>
          <w:sz w:val="24"/>
          <w:szCs w:val="20"/>
          <w:lang w:val="en-GB"/>
        </w:rPr>
        <w:t xml:space="preserve"> will not be countenanced.</w:t>
      </w:r>
      <w:r w:rsidR="0089135E">
        <w:rPr>
          <w:rFonts w:ascii="Calibri" w:eastAsia="Times New Roman" w:hAnsi="Calibri" w:cs="Calibri"/>
          <w:sz w:val="24"/>
          <w:szCs w:val="20"/>
          <w:lang w:val="en-GB"/>
        </w:rPr>
        <w:t xml:space="preserve"> Nor will conduct that involves an attempt to pervert the course of justice </w:t>
      </w:r>
      <w:r w:rsidR="00DE2F9A">
        <w:rPr>
          <w:rFonts w:ascii="Calibri" w:eastAsia="Times New Roman" w:hAnsi="Calibri" w:cs="Calibri"/>
          <w:sz w:val="24"/>
          <w:szCs w:val="20"/>
          <w:lang w:val="en-GB"/>
        </w:rPr>
        <w:t xml:space="preserve">by </w:t>
      </w:r>
      <w:r w:rsidR="0089135E">
        <w:rPr>
          <w:rFonts w:ascii="Calibri" w:eastAsia="Times New Roman" w:hAnsi="Calibri" w:cs="Calibri"/>
          <w:sz w:val="24"/>
          <w:szCs w:val="20"/>
          <w:lang w:val="en-GB"/>
        </w:rPr>
        <w:t xml:space="preserve">inviting a vulnerable young person to lie for him </w:t>
      </w:r>
      <w:r w:rsidR="007F4C26">
        <w:rPr>
          <w:rFonts w:ascii="Calibri" w:eastAsia="Times New Roman" w:hAnsi="Calibri" w:cs="Calibri"/>
          <w:sz w:val="24"/>
          <w:szCs w:val="20"/>
          <w:lang w:val="en-GB"/>
        </w:rPr>
        <w:t>f</w:t>
      </w:r>
      <w:r w:rsidR="0089135E">
        <w:rPr>
          <w:rFonts w:ascii="Calibri" w:eastAsia="Times New Roman" w:hAnsi="Calibri" w:cs="Calibri"/>
          <w:sz w:val="24"/>
          <w:szCs w:val="20"/>
          <w:lang w:val="en-GB"/>
        </w:rPr>
        <w:t>or her to avoid dete</w:t>
      </w:r>
      <w:r w:rsidR="00EA2119">
        <w:rPr>
          <w:rFonts w:ascii="Calibri" w:eastAsia="Times New Roman" w:hAnsi="Calibri" w:cs="Calibri"/>
          <w:sz w:val="24"/>
          <w:szCs w:val="20"/>
          <w:lang w:val="en-GB"/>
        </w:rPr>
        <w:t>ction and punishment. The combination of such conduct was disgraceful</w:t>
      </w:r>
      <w:r w:rsidR="0091516C">
        <w:rPr>
          <w:rFonts w:ascii="Calibri" w:eastAsia="Times New Roman" w:hAnsi="Calibri" w:cs="Calibri"/>
          <w:sz w:val="24"/>
          <w:szCs w:val="20"/>
          <w:lang w:val="en-GB"/>
        </w:rPr>
        <w:t xml:space="preserve"> and erode</w:t>
      </w:r>
      <w:r w:rsidR="004409DC">
        <w:rPr>
          <w:rFonts w:ascii="Calibri" w:eastAsia="Times New Roman" w:hAnsi="Calibri" w:cs="Calibri"/>
          <w:sz w:val="24"/>
          <w:szCs w:val="20"/>
          <w:lang w:val="en-GB"/>
        </w:rPr>
        <w:t>d</w:t>
      </w:r>
      <w:r w:rsidR="0091516C">
        <w:rPr>
          <w:rFonts w:ascii="Calibri" w:eastAsia="Times New Roman" w:hAnsi="Calibri" w:cs="Calibri"/>
          <w:sz w:val="24"/>
          <w:szCs w:val="20"/>
          <w:lang w:val="en-GB"/>
        </w:rPr>
        <w:t xml:space="preserve"> the mana of the social work profession.</w:t>
      </w:r>
      <w:r w:rsidR="00EA2119">
        <w:rPr>
          <w:rFonts w:ascii="Calibri" w:eastAsia="Times New Roman" w:hAnsi="Calibri" w:cs="Calibri"/>
          <w:sz w:val="24"/>
          <w:szCs w:val="20"/>
          <w:lang w:val="en-GB"/>
        </w:rPr>
        <w:t xml:space="preserve"> </w:t>
      </w:r>
      <w:r w:rsidR="000D4A19">
        <w:rPr>
          <w:rFonts w:ascii="Calibri" w:eastAsia="Times New Roman" w:hAnsi="Calibri" w:cs="Calibri"/>
          <w:sz w:val="24"/>
          <w:szCs w:val="20"/>
          <w:lang w:val="en-GB"/>
        </w:rPr>
        <w:t>The</w:t>
      </w:r>
      <w:r w:rsidR="006C35A3">
        <w:rPr>
          <w:rFonts w:ascii="Calibri" w:eastAsia="Times New Roman" w:hAnsi="Calibri" w:cs="Calibri"/>
          <w:sz w:val="24"/>
          <w:szCs w:val="20"/>
          <w:lang w:val="en-GB"/>
        </w:rPr>
        <w:t xml:space="preserve"> </w:t>
      </w:r>
      <w:r w:rsidR="009635FE">
        <w:rPr>
          <w:rFonts w:ascii="Calibri" w:eastAsia="Times New Roman" w:hAnsi="Calibri" w:cs="Calibri"/>
          <w:sz w:val="24"/>
          <w:szCs w:val="20"/>
          <w:lang w:val="en-GB"/>
        </w:rPr>
        <w:t>Tribunal ha</w:t>
      </w:r>
      <w:r w:rsidR="00710105">
        <w:rPr>
          <w:rFonts w:ascii="Calibri" w:eastAsia="Times New Roman" w:hAnsi="Calibri" w:cs="Calibri"/>
          <w:sz w:val="24"/>
          <w:szCs w:val="20"/>
          <w:lang w:val="en-GB"/>
        </w:rPr>
        <w:t>d</w:t>
      </w:r>
      <w:r w:rsidR="009635FE">
        <w:rPr>
          <w:rFonts w:ascii="Calibri" w:eastAsia="Times New Roman" w:hAnsi="Calibri" w:cs="Calibri"/>
          <w:sz w:val="24"/>
          <w:szCs w:val="20"/>
          <w:lang w:val="en-GB"/>
        </w:rPr>
        <w:t xml:space="preserve"> little difficulty concluding that it was conduct that</w:t>
      </w:r>
      <w:r w:rsidR="00EA2119">
        <w:rPr>
          <w:rFonts w:ascii="Calibri" w:eastAsia="Times New Roman" w:hAnsi="Calibri" w:cs="Calibri"/>
          <w:sz w:val="24"/>
          <w:szCs w:val="20"/>
          <w:lang w:val="en-GB"/>
        </w:rPr>
        <w:t xml:space="preserve"> is deserving of the most serious disciplinary sanction.</w:t>
      </w:r>
    </w:p>
    <w:p w14:paraId="57C843E9" w14:textId="21A72BD2" w:rsidR="00285939" w:rsidRPr="00285939" w:rsidRDefault="009635FE" w:rsidP="00285939">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Pr>
          <w:rFonts w:ascii="Calibri" w:eastAsia="Times New Roman" w:hAnsi="Calibri" w:cs="Calibri"/>
          <w:sz w:val="24"/>
          <w:szCs w:val="20"/>
          <w:lang w:val="en-GB"/>
        </w:rPr>
        <w:lastRenderedPageBreak/>
        <w:t>Accordingly, t</w:t>
      </w:r>
      <w:r w:rsidR="00285939" w:rsidRPr="00285939">
        <w:rPr>
          <w:rFonts w:ascii="Calibri" w:eastAsia="Times New Roman" w:hAnsi="Calibri" w:cs="Calibri"/>
          <w:sz w:val="24"/>
          <w:szCs w:val="20"/>
          <w:lang w:val="en-GB"/>
        </w:rPr>
        <w:t>he Tribunal orders cancellation of</w:t>
      </w:r>
      <w:r w:rsidR="00C60D22">
        <w:rPr>
          <w:rFonts w:ascii="Calibri" w:eastAsia="Times New Roman" w:hAnsi="Calibri" w:cs="Calibri"/>
          <w:sz w:val="24"/>
          <w:szCs w:val="20"/>
          <w:lang w:val="en-GB"/>
        </w:rPr>
        <w:t xml:space="preserve"> the practitioner’s</w:t>
      </w:r>
      <w:r w:rsidR="00285939" w:rsidRPr="00285939">
        <w:rPr>
          <w:rFonts w:ascii="Calibri" w:eastAsia="Times New Roman" w:hAnsi="Calibri" w:cs="Calibri"/>
          <w:sz w:val="24"/>
          <w:szCs w:val="20"/>
          <w:lang w:val="en-GB"/>
        </w:rPr>
        <w:t xml:space="preserve"> registration. </w:t>
      </w:r>
    </w:p>
    <w:p w14:paraId="3807C1EB" w14:textId="2048CA67" w:rsidR="003B6159" w:rsidRDefault="00285939" w:rsidP="00285939">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sidRPr="00285939">
        <w:rPr>
          <w:rFonts w:ascii="Calibri" w:eastAsia="Times New Roman" w:hAnsi="Calibri" w:cs="Calibri"/>
          <w:sz w:val="24"/>
          <w:szCs w:val="20"/>
          <w:lang w:val="en-GB"/>
        </w:rPr>
        <w:t>The Tribunal was statutorily required to first consider suspension or the imposition of conditions on the person’s registration or practising certificate before it decided to make an order cancelling</w:t>
      </w:r>
      <w:r w:rsidR="009635FE">
        <w:rPr>
          <w:rFonts w:ascii="Calibri" w:eastAsia="Times New Roman" w:hAnsi="Calibri" w:cs="Calibri"/>
          <w:sz w:val="24"/>
          <w:szCs w:val="20"/>
          <w:lang w:val="en-GB"/>
        </w:rPr>
        <w:t xml:space="preserve"> the practitioner</w:t>
      </w:r>
      <w:r w:rsidR="007F4C26">
        <w:rPr>
          <w:rFonts w:ascii="Calibri" w:eastAsia="Times New Roman" w:hAnsi="Calibri" w:cs="Calibri"/>
          <w:sz w:val="24"/>
          <w:szCs w:val="20"/>
          <w:lang w:val="en-GB"/>
        </w:rPr>
        <w:t>’s</w:t>
      </w:r>
      <w:r w:rsidRPr="00285939">
        <w:rPr>
          <w:rFonts w:ascii="Calibri" w:eastAsia="Times New Roman" w:hAnsi="Calibri" w:cs="Calibri"/>
          <w:sz w:val="24"/>
          <w:szCs w:val="20"/>
          <w:lang w:val="en-GB"/>
        </w:rPr>
        <w:t xml:space="preserve"> registration</w:t>
      </w:r>
      <w:r w:rsidR="009635FE">
        <w:rPr>
          <w:rFonts w:ascii="Calibri" w:eastAsia="Times New Roman" w:hAnsi="Calibri" w:cs="Calibri"/>
          <w:sz w:val="24"/>
          <w:szCs w:val="20"/>
          <w:lang w:val="en-GB"/>
        </w:rPr>
        <w:t xml:space="preserve"> and it </w:t>
      </w:r>
      <w:r w:rsidRPr="00285939">
        <w:rPr>
          <w:rFonts w:ascii="Calibri" w:eastAsia="Times New Roman" w:hAnsi="Calibri" w:cs="Calibri"/>
          <w:sz w:val="24"/>
          <w:szCs w:val="20"/>
          <w:lang w:val="en-GB"/>
        </w:rPr>
        <w:t xml:space="preserve">did so. The Tribunal accepts that cancellation of registration should not be ordered if an alternative penalty can achieve the objectives sought. Rehabilitation of the social worker is a factor requiring careful consideration. </w:t>
      </w:r>
      <w:r w:rsidR="00A43816">
        <w:rPr>
          <w:rFonts w:ascii="Calibri" w:eastAsia="Times New Roman" w:hAnsi="Calibri" w:cs="Calibri"/>
          <w:sz w:val="24"/>
          <w:szCs w:val="20"/>
          <w:lang w:val="en-GB"/>
        </w:rPr>
        <w:t>Ultimately, t</w:t>
      </w:r>
      <w:r w:rsidRPr="00285939">
        <w:rPr>
          <w:rFonts w:ascii="Calibri" w:eastAsia="Times New Roman" w:hAnsi="Calibri" w:cs="Calibri"/>
          <w:sz w:val="24"/>
          <w:szCs w:val="20"/>
          <w:lang w:val="en-GB"/>
        </w:rPr>
        <w:t xml:space="preserve">he Tribunal must balance </w:t>
      </w:r>
      <w:r w:rsidR="00A03E5F">
        <w:rPr>
          <w:rFonts w:ascii="Calibri" w:eastAsia="Times New Roman" w:hAnsi="Calibri" w:cs="Calibri"/>
          <w:sz w:val="24"/>
          <w:szCs w:val="20"/>
          <w:lang w:val="en-GB"/>
        </w:rPr>
        <w:t xml:space="preserve">the nature and gravity of the offences and the offending and their bearing on the social worker’s fitness to practise against the need for removal and its consequences to the individual. </w:t>
      </w:r>
      <w:r w:rsidR="008E6E38">
        <w:rPr>
          <w:rFonts w:ascii="Calibri" w:eastAsia="Times New Roman" w:hAnsi="Calibri" w:cs="Calibri"/>
          <w:sz w:val="24"/>
          <w:szCs w:val="20"/>
          <w:lang w:val="en-GB"/>
        </w:rPr>
        <w:t xml:space="preserve">As was said by the Privy Council in </w:t>
      </w:r>
      <w:r w:rsidR="008E6E38">
        <w:rPr>
          <w:rFonts w:ascii="Calibri" w:eastAsia="Times New Roman" w:hAnsi="Calibri" w:cs="Calibri"/>
          <w:i/>
          <w:iCs/>
          <w:sz w:val="24"/>
          <w:szCs w:val="20"/>
          <w:lang w:val="en-GB"/>
        </w:rPr>
        <w:t>Dad v General Dental Council</w:t>
      </w:r>
      <w:r w:rsidR="003B6159">
        <w:rPr>
          <w:rFonts w:ascii="Calibri" w:eastAsia="Times New Roman" w:hAnsi="Calibri" w:cs="Calibri"/>
          <w:i/>
          <w:iCs/>
          <w:sz w:val="24"/>
          <w:szCs w:val="20"/>
          <w:lang w:val="en-GB"/>
        </w:rPr>
        <w:t xml:space="preserve"> </w:t>
      </w:r>
      <w:r w:rsidR="00F32AFC">
        <w:rPr>
          <w:rStyle w:val="FootnoteReference"/>
          <w:rFonts w:ascii="Calibri" w:eastAsia="Times New Roman" w:hAnsi="Calibri" w:cs="Calibri"/>
          <w:i/>
          <w:iCs/>
          <w:sz w:val="24"/>
          <w:szCs w:val="20"/>
          <w:lang w:val="en-GB"/>
        </w:rPr>
        <w:footnoteReference w:id="30"/>
      </w:r>
      <w:r w:rsidR="003B6159">
        <w:rPr>
          <w:rFonts w:ascii="Calibri" w:eastAsia="Times New Roman" w:hAnsi="Calibri" w:cs="Calibri"/>
          <w:sz w:val="24"/>
          <w:szCs w:val="20"/>
          <w:lang w:val="en-GB"/>
        </w:rPr>
        <w:t>at [1543]:</w:t>
      </w:r>
    </w:p>
    <w:p w14:paraId="5B327E07" w14:textId="3C6DA898" w:rsidR="008E6E38" w:rsidRDefault="008140E6" w:rsidP="007D0BAB">
      <w:pPr>
        <w:tabs>
          <w:tab w:val="left" w:pos="709"/>
        </w:tabs>
        <w:spacing w:after="0" w:line="360" w:lineRule="auto"/>
        <w:ind w:left="1134"/>
        <w:contextualSpacing/>
        <w:jc w:val="both"/>
        <w:rPr>
          <w:rFonts w:ascii="Calibri" w:eastAsia="Times New Roman" w:hAnsi="Calibri" w:cs="Calibri"/>
          <w:lang w:val="en-GB"/>
        </w:rPr>
      </w:pPr>
      <w:r>
        <w:rPr>
          <w:rFonts w:ascii="Calibri" w:eastAsia="Times New Roman" w:hAnsi="Calibri" w:cs="Calibri"/>
          <w:lang w:val="en-GB"/>
        </w:rPr>
        <w:t>“</w:t>
      </w:r>
      <w:r w:rsidR="003B6159">
        <w:rPr>
          <w:rFonts w:ascii="Calibri" w:eastAsia="Times New Roman" w:hAnsi="Calibri" w:cs="Calibri"/>
          <w:lang w:val="en-GB"/>
        </w:rPr>
        <w:t>Such consequences [cancellation] can properly be regarded as inevitable where the nature or gravity of the offence indicates that a dentist is unfit to practise</w:t>
      </w:r>
      <w:r w:rsidR="007F4C26">
        <w:rPr>
          <w:rFonts w:ascii="Calibri" w:eastAsia="Times New Roman" w:hAnsi="Calibri" w:cs="Calibri"/>
          <w:lang w:val="en-GB"/>
        </w:rPr>
        <w:t>,</w:t>
      </w:r>
      <w:r w:rsidR="003B6159">
        <w:rPr>
          <w:rFonts w:ascii="Calibri" w:eastAsia="Times New Roman" w:hAnsi="Calibri" w:cs="Calibri"/>
          <w:lang w:val="en-GB"/>
        </w:rPr>
        <w:t xml:space="preserve"> that rehabilitation is unlikely and that he must be suspended or have his name</w:t>
      </w:r>
      <w:r w:rsidR="00F32AFC">
        <w:rPr>
          <w:rFonts w:ascii="Calibri" w:eastAsia="Times New Roman" w:hAnsi="Calibri" w:cs="Calibri"/>
          <w:lang w:val="en-GB"/>
        </w:rPr>
        <w:t xml:space="preserve"> erased from the register. In cases of that kind greater weight must be given to the public interest and to the need to maintain public confidence in the profession than to the consequences of the imposition of the penalty to the individual?</w:t>
      </w:r>
    </w:p>
    <w:p w14:paraId="0DC637E7" w14:textId="77777777" w:rsidR="007F4C26" w:rsidRPr="003B6159" w:rsidRDefault="007F4C26" w:rsidP="007D0BAB">
      <w:pPr>
        <w:tabs>
          <w:tab w:val="left" w:pos="709"/>
        </w:tabs>
        <w:spacing w:after="0" w:line="360" w:lineRule="auto"/>
        <w:ind w:left="1134"/>
        <w:contextualSpacing/>
        <w:jc w:val="both"/>
        <w:rPr>
          <w:rFonts w:ascii="Calibri" w:eastAsia="Times New Roman" w:hAnsi="Calibri" w:cs="Calibri"/>
          <w:lang w:val="en-GB"/>
        </w:rPr>
      </w:pPr>
    </w:p>
    <w:p w14:paraId="56C38484" w14:textId="39E82C0B" w:rsidR="00285939" w:rsidRPr="00285939" w:rsidRDefault="00285939" w:rsidP="00285939">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sidRPr="00285939">
        <w:rPr>
          <w:rFonts w:ascii="Calibri" w:eastAsia="Times New Roman" w:hAnsi="Calibri" w:cs="Calibri"/>
          <w:sz w:val="24"/>
          <w:szCs w:val="20"/>
          <w:lang w:val="en-GB"/>
        </w:rPr>
        <w:t xml:space="preserve">In terms of rehabilitation the Tribunal </w:t>
      </w:r>
      <w:r w:rsidR="00BD424F">
        <w:rPr>
          <w:rFonts w:ascii="Calibri" w:eastAsia="Times New Roman" w:hAnsi="Calibri" w:cs="Calibri"/>
          <w:sz w:val="24"/>
          <w:szCs w:val="20"/>
          <w:lang w:val="en-GB"/>
        </w:rPr>
        <w:t xml:space="preserve">considered the Department of Corrections Offender Notes </w:t>
      </w:r>
      <w:r w:rsidR="00597409">
        <w:rPr>
          <w:rFonts w:ascii="Calibri" w:eastAsia="Times New Roman" w:hAnsi="Calibri" w:cs="Calibri"/>
          <w:sz w:val="24"/>
          <w:szCs w:val="20"/>
          <w:lang w:val="en-GB"/>
        </w:rPr>
        <w:t>which show</w:t>
      </w:r>
      <w:r w:rsidR="00A97463">
        <w:rPr>
          <w:rFonts w:ascii="Calibri" w:eastAsia="Times New Roman" w:hAnsi="Calibri" w:cs="Calibri"/>
          <w:sz w:val="24"/>
          <w:szCs w:val="20"/>
          <w:lang w:val="en-GB"/>
        </w:rPr>
        <w:t xml:space="preserve"> that when she served her sentence the practitioner underwent CADS (Community Alcohol and Drugs)</w:t>
      </w:r>
      <w:r w:rsidR="003E0E80">
        <w:rPr>
          <w:rFonts w:ascii="Calibri" w:eastAsia="Times New Roman" w:hAnsi="Calibri" w:cs="Calibri"/>
          <w:sz w:val="24"/>
          <w:szCs w:val="20"/>
          <w:lang w:val="en-GB"/>
        </w:rPr>
        <w:t xml:space="preserve"> one on one</w:t>
      </w:r>
      <w:r w:rsidR="00CA71FA">
        <w:rPr>
          <w:rFonts w:ascii="Calibri" w:eastAsia="Times New Roman" w:hAnsi="Calibri" w:cs="Calibri"/>
          <w:sz w:val="24"/>
          <w:szCs w:val="20"/>
          <w:lang w:val="en-GB"/>
        </w:rPr>
        <w:t xml:space="preserve"> alcohol and drug</w:t>
      </w:r>
      <w:r w:rsidR="00A97463">
        <w:rPr>
          <w:rFonts w:ascii="Calibri" w:eastAsia="Times New Roman" w:hAnsi="Calibri" w:cs="Calibri"/>
          <w:sz w:val="24"/>
          <w:szCs w:val="20"/>
          <w:lang w:val="en-GB"/>
        </w:rPr>
        <w:t xml:space="preserve"> counselling</w:t>
      </w:r>
      <w:r w:rsidR="00FD7E76">
        <w:rPr>
          <w:rFonts w:ascii="Calibri" w:eastAsia="Times New Roman" w:hAnsi="Calibri" w:cs="Calibri"/>
          <w:sz w:val="24"/>
          <w:szCs w:val="20"/>
          <w:lang w:val="en-GB"/>
        </w:rPr>
        <w:t xml:space="preserve"> for a period of eight weeks</w:t>
      </w:r>
      <w:r w:rsidR="00A97463">
        <w:rPr>
          <w:rFonts w:ascii="Calibri" w:eastAsia="Times New Roman" w:hAnsi="Calibri" w:cs="Calibri"/>
          <w:sz w:val="24"/>
          <w:szCs w:val="20"/>
          <w:lang w:val="en-GB"/>
        </w:rPr>
        <w:t>.</w:t>
      </w:r>
      <w:r w:rsidR="00956462">
        <w:rPr>
          <w:rFonts w:ascii="Calibri" w:eastAsia="Times New Roman" w:hAnsi="Calibri" w:cs="Calibri"/>
          <w:sz w:val="24"/>
          <w:szCs w:val="20"/>
          <w:lang w:val="en-GB"/>
        </w:rPr>
        <w:t xml:space="preserve"> </w:t>
      </w:r>
      <w:r w:rsidR="00EA2705">
        <w:rPr>
          <w:rFonts w:ascii="Calibri" w:eastAsia="Times New Roman" w:hAnsi="Calibri" w:cs="Calibri"/>
          <w:sz w:val="24"/>
          <w:szCs w:val="20"/>
          <w:lang w:val="en-GB"/>
        </w:rPr>
        <w:t>Since August 2020</w:t>
      </w:r>
      <w:r w:rsidR="004E1A14">
        <w:rPr>
          <w:rFonts w:ascii="Calibri" w:eastAsia="Times New Roman" w:hAnsi="Calibri" w:cs="Calibri"/>
          <w:sz w:val="24"/>
          <w:szCs w:val="20"/>
          <w:lang w:val="en-GB"/>
        </w:rPr>
        <w:t xml:space="preserve"> the practitioner </w:t>
      </w:r>
      <w:r w:rsidR="00EA2705">
        <w:rPr>
          <w:rFonts w:ascii="Calibri" w:eastAsia="Times New Roman" w:hAnsi="Calibri" w:cs="Calibri"/>
          <w:sz w:val="24"/>
          <w:szCs w:val="20"/>
          <w:lang w:val="en-GB"/>
        </w:rPr>
        <w:t>has been</w:t>
      </w:r>
      <w:r w:rsidR="00644F9D">
        <w:rPr>
          <w:rFonts w:ascii="Calibri" w:eastAsia="Times New Roman" w:hAnsi="Calibri" w:cs="Calibri"/>
          <w:sz w:val="24"/>
          <w:szCs w:val="20"/>
          <w:lang w:val="en-GB"/>
        </w:rPr>
        <w:t xml:space="preserve"> in the probationary period of her sentence. She told the PCC when she was interviewed on 2</w:t>
      </w:r>
      <w:r w:rsidR="00B7300D">
        <w:rPr>
          <w:rFonts w:ascii="Calibri" w:eastAsia="Times New Roman" w:hAnsi="Calibri" w:cs="Calibri"/>
          <w:sz w:val="24"/>
          <w:szCs w:val="20"/>
          <w:lang w:val="en-GB"/>
        </w:rPr>
        <w:t>9 May</w:t>
      </w:r>
      <w:r w:rsidR="00644F9D">
        <w:rPr>
          <w:rFonts w:ascii="Calibri" w:eastAsia="Times New Roman" w:hAnsi="Calibri" w:cs="Calibri"/>
          <w:sz w:val="24"/>
          <w:szCs w:val="20"/>
          <w:lang w:val="en-GB"/>
        </w:rPr>
        <w:t xml:space="preserve"> 2020 that she is</w:t>
      </w:r>
      <w:r w:rsidR="00956462">
        <w:rPr>
          <w:rFonts w:ascii="Calibri" w:eastAsia="Times New Roman" w:hAnsi="Calibri" w:cs="Calibri"/>
          <w:sz w:val="24"/>
          <w:szCs w:val="20"/>
          <w:lang w:val="en-GB"/>
        </w:rPr>
        <w:t xml:space="preserve"> required to have random drug and alcohol tests</w:t>
      </w:r>
      <w:r w:rsidR="00655B5A">
        <w:rPr>
          <w:rFonts w:ascii="Calibri" w:eastAsia="Times New Roman" w:hAnsi="Calibri" w:cs="Calibri"/>
          <w:sz w:val="24"/>
          <w:szCs w:val="20"/>
          <w:lang w:val="en-GB"/>
        </w:rPr>
        <w:t>, which is also a post detention condition</w:t>
      </w:r>
      <w:r w:rsidR="00956462">
        <w:rPr>
          <w:rFonts w:ascii="Calibri" w:eastAsia="Times New Roman" w:hAnsi="Calibri" w:cs="Calibri"/>
          <w:sz w:val="24"/>
          <w:szCs w:val="20"/>
          <w:lang w:val="en-GB"/>
        </w:rPr>
        <w:t xml:space="preserve">. </w:t>
      </w:r>
      <w:r w:rsidR="00655B5A">
        <w:rPr>
          <w:rFonts w:ascii="Calibri" w:eastAsia="Times New Roman" w:hAnsi="Calibri" w:cs="Calibri"/>
          <w:sz w:val="24"/>
          <w:szCs w:val="20"/>
          <w:lang w:val="en-GB"/>
        </w:rPr>
        <w:t>The practitioner also</w:t>
      </w:r>
      <w:r w:rsidR="00E700B7">
        <w:rPr>
          <w:rFonts w:ascii="Calibri" w:eastAsia="Times New Roman" w:hAnsi="Calibri" w:cs="Calibri"/>
          <w:sz w:val="24"/>
          <w:szCs w:val="20"/>
          <w:lang w:val="en-GB"/>
        </w:rPr>
        <w:t xml:space="preserve"> informed the PCC </w:t>
      </w:r>
      <w:r w:rsidR="002D3026">
        <w:rPr>
          <w:rFonts w:ascii="Calibri" w:eastAsia="Times New Roman" w:hAnsi="Calibri" w:cs="Calibri"/>
          <w:sz w:val="24"/>
          <w:szCs w:val="20"/>
          <w:lang w:val="en-GB"/>
        </w:rPr>
        <w:t>that she</w:t>
      </w:r>
      <w:r w:rsidR="00A9428F">
        <w:rPr>
          <w:rFonts w:ascii="Calibri" w:eastAsia="Times New Roman" w:hAnsi="Calibri" w:cs="Calibri"/>
          <w:sz w:val="24"/>
          <w:szCs w:val="20"/>
          <w:lang w:val="en-GB"/>
        </w:rPr>
        <w:t xml:space="preserve"> </w:t>
      </w:r>
      <w:r w:rsidR="002D3026">
        <w:rPr>
          <w:rFonts w:ascii="Calibri" w:eastAsia="Times New Roman" w:hAnsi="Calibri" w:cs="Calibri"/>
          <w:sz w:val="24"/>
          <w:szCs w:val="20"/>
          <w:lang w:val="en-GB"/>
        </w:rPr>
        <w:t>had</w:t>
      </w:r>
      <w:r w:rsidR="00A9428F">
        <w:rPr>
          <w:rFonts w:ascii="Calibri" w:eastAsia="Times New Roman" w:hAnsi="Calibri" w:cs="Calibri"/>
          <w:sz w:val="24"/>
          <w:szCs w:val="20"/>
          <w:lang w:val="en-GB"/>
        </w:rPr>
        <w:t xml:space="preserve"> entered SAFE counselling</w:t>
      </w:r>
      <w:r w:rsidR="002D3026">
        <w:rPr>
          <w:rFonts w:ascii="Calibri" w:eastAsia="Times New Roman" w:hAnsi="Calibri" w:cs="Calibri"/>
          <w:sz w:val="24"/>
          <w:szCs w:val="20"/>
          <w:lang w:val="en-GB"/>
        </w:rPr>
        <w:t xml:space="preserve"> and had had her first </w:t>
      </w:r>
      <w:r w:rsidR="00F94C9D">
        <w:rPr>
          <w:rFonts w:ascii="Calibri" w:eastAsia="Times New Roman" w:hAnsi="Calibri" w:cs="Calibri"/>
          <w:sz w:val="24"/>
          <w:szCs w:val="20"/>
          <w:lang w:val="en-GB"/>
        </w:rPr>
        <w:t xml:space="preserve">face to face session with her counsellor on </w:t>
      </w:r>
      <w:r w:rsidR="00021AF2">
        <w:rPr>
          <w:rFonts w:ascii="Calibri" w:eastAsia="Times New Roman" w:hAnsi="Calibri" w:cs="Calibri"/>
          <w:sz w:val="24"/>
          <w:szCs w:val="20"/>
          <w:lang w:val="en-GB"/>
        </w:rPr>
        <w:t>28 May</w:t>
      </w:r>
      <w:r w:rsidR="00F94C9D">
        <w:rPr>
          <w:rFonts w:ascii="Calibri" w:eastAsia="Times New Roman" w:hAnsi="Calibri" w:cs="Calibri"/>
          <w:sz w:val="24"/>
          <w:szCs w:val="20"/>
          <w:lang w:val="en-GB"/>
        </w:rPr>
        <w:t xml:space="preserve"> 2020</w:t>
      </w:r>
      <w:r w:rsidR="00A9428F">
        <w:rPr>
          <w:rFonts w:ascii="Calibri" w:eastAsia="Times New Roman" w:hAnsi="Calibri" w:cs="Calibri"/>
          <w:sz w:val="24"/>
          <w:szCs w:val="20"/>
          <w:lang w:val="en-GB"/>
        </w:rPr>
        <w:t>.</w:t>
      </w:r>
      <w:r w:rsidR="00A97463">
        <w:rPr>
          <w:rFonts w:ascii="Calibri" w:eastAsia="Times New Roman" w:hAnsi="Calibri" w:cs="Calibri"/>
          <w:sz w:val="24"/>
          <w:szCs w:val="20"/>
          <w:lang w:val="en-GB"/>
        </w:rPr>
        <w:t xml:space="preserve"> </w:t>
      </w:r>
      <w:r w:rsidR="009C2546">
        <w:rPr>
          <w:rFonts w:ascii="Calibri" w:eastAsia="Times New Roman" w:hAnsi="Calibri" w:cs="Calibri"/>
          <w:sz w:val="24"/>
          <w:szCs w:val="20"/>
          <w:lang w:val="en-GB"/>
        </w:rPr>
        <w:t>T</w:t>
      </w:r>
      <w:r w:rsidRPr="00285939">
        <w:rPr>
          <w:rFonts w:ascii="Calibri" w:eastAsia="Times New Roman" w:hAnsi="Calibri" w:cs="Calibri"/>
          <w:sz w:val="24"/>
          <w:szCs w:val="20"/>
          <w:lang w:val="en-GB"/>
        </w:rPr>
        <w:t>here was no material</w:t>
      </w:r>
      <w:r w:rsidR="00F15029">
        <w:rPr>
          <w:rFonts w:ascii="Calibri" w:eastAsia="Times New Roman" w:hAnsi="Calibri" w:cs="Calibri"/>
          <w:sz w:val="24"/>
          <w:szCs w:val="20"/>
          <w:lang w:val="en-GB"/>
        </w:rPr>
        <w:t xml:space="preserve"> (before the Tribunal at the hearing)</w:t>
      </w:r>
      <w:r w:rsidRPr="00285939">
        <w:rPr>
          <w:rFonts w:ascii="Calibri" w:eastAsia="Times New Roman" w:hAnsi="Calibri" w:cs="Calibri"/>
          <w:sz w:val="24"/>
          <w:szCs w:val="20"/>
          <w:lang w:val="en-GB"/>
        </w:rPr>
        <w:t xml:space="preserve"> from </w:t>
      </w:r>
      <w:r w:rsidR="00745E09">
        <w:rPr>
          <w:rFonts w:ascii="Calibri" w:eastAsia="Times New Roman" w:hAnsi="Calibri" w:cs="Calibri"/>
          <w:sz w:val="24"/>
          <w:szCs w:val="20"/>
          <w:lang w:val="en-GB"/>
        </w:rPr>
        <w:t>SAFE</w:t>
      </w:r>
      <w:r w:rsidRPr="00285939">
        <w:rPr>
          <w:rFonts w:ascii="Calibri" w:eastAsia="Times New Roman" w:hAnsi="Calibri" w:cs="Calibri"/>
          <w:sz w:val="24"/>
          <w:szCs w:val="20"/>
          <w:lang w:val="en-GB"/>
        </w:rPr>
        <w:t xml:space="preserve"> to verify that </w:t>
      </w:r>
      <w:r w:rsidR="00745E09">
        <w:rPr>
          <w:rFonts w:ascii="Calibri" w:eastAsia="Times New Roman" w:hAnsi="Calibri" w:cs="Calibri"/>
          <w:sz w:val="24"/>
          <w:szCs w:val="20"/>
          <w:lang w:val="en-GB"/>
        </w:rPr>
        <w:t>the practitioner</w:t>
      </w:r>
      <w:r w:rsidRPr="00285939">
        <w:rPr>
          <w:rFonts w:ascii="Calibri" w:eastAsia="Times New Roman" w:hAnsi="Calibri" w:cs="Calibri"/>
          <w:sz w:val="24"/>
          <w:szCs w:val="20"/>
          <w:lang w:val="en-GB"/>
        </w:rPr>
        <w:t xml:space="preserve"> ha</w:t>
      </w:r>
      <w:r w:rsidR="00F94C9D">
        <w:rPr>
          <w:rFonts w:ascii="Calibri" w:eastAsia="Times New Roman" w:hAnsi="Calibri" w:cs="Calibri"/>
          <w:sz w:val="24"/>
          <w:szCs w:val="20"/>
          <w:lang w:val="en-GB"/>
        </w:rPr>
        <w:t xml:space="preserve">d engaged or was continuing to </w:t>
      </w:r>
      <w:r w:rsidR="009C2546">
        <w:rPr>
          <w:rFonts w:ascii="Calibri" w:eastAsia="Times New Roman" w:hAnsi="Calibri" w:cs="Calibri"/>
          <w:sz w:val="24"/>
          <w:szCs w:val="20"/>
          <w:lang w:val="en-GB"/>
        </w:rPr>
        <w:t>engag</w:t>
      </w:r>
      <w:r w:rsidR="00F94C9D">
        <w:rPr>
          <w:rFonts w:ascii="Calibri" w:eastAsia="Times New Roman" w:hAnsi="Calibri" w:cs="Calibri"/>
          <w:sz w:val="24"/>
          <w:szCs w:val="20"/>
          <w:lang w:val="en-GB"/>
        </w:rPr>
        <w:t>e</w:t>
      </w:r>
      <w:r w:rsidR="009C2546">
        <w:rPr>
          <w:rFonts w:ascii="Calibri" w:eastAsia="Times New Roman" w:hAnsi="Calibri" w:cs="Calibri"/>
          <w:sz w:val="24"/>
          <w:szCs w:val="20"/>
          <w:lang w:val="en-GB"/>
        </w:rPr>
        <w:t xml:space="preserve"> </w:t>
      </w:r>
      <w:r w:rsidR="00745E09">
        <w:rPr>
          <w:rFonts w:ascii="Calibri" w:eastAsia="Times New Roman" w:hAnsi="Calibri" w:cs="Calibri"/>
          <w:sz w:val="24"/>
          <w:szCs w:val="20"/>
          <w:lang w:val="en-GB"/>
        </w:rPr>
        <w:t>with that entity or what her attendance involved</w:t>
      </w:r>
      <w:r w:rsidRPr="00285939">
        <w:rPr>
          <w:rFonts w:ascii="Calibri" w:eastAsia="Times New Roman" w:hAnsi="Calibri" w:cs="Calibri"/>
          <w:sz w:val="24"/>
          <w:szCs w:val="20"/>
          <w:lang w:val="en-GB"/>
        </w:rPr>
        <w:t>.</w:t>
      </w:r>
      <w:r w:rsidR="00745E09">
        <w:rPr>
          <w:rFonts w:ascii="Calibri" w:eastAsia="Times New Roman" w:hAnsi="Calibri" w:cs="Calibri"/>
          <w:sz w:val="24"/>
          <w:szCs w:val="20"/>
          <w:lang w:val="en-GB"/>
        </w:rPr>
        <w:t xml:space="preserve"> </w:t>
      </w:r>
    </w:p>
    <w:p w14:paraId="25BFB0B1" w14:textId="16F306A3" w:rsidR="00285939" w:rsidRPr="00AC79EC" w:rsidRDefault="00285939" w:rsidP="00AC79EC">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sidRPr="00285939">
        <w:rPr>
          <w:rFonts w:ascii="Calibri" w:eastAsia="Times New Roman" w:hAnsi="Calibri" w:cs="Calibri"/>
          <w:sz w:val="24"/>
          <w:szCs w:val="20"/>
          <w:lang w:val="en-GB"/>
        </w:rPr>
        <w:lastRenderedPageBreak/>
        <w:t xml:space="preserve">While the </w:t>
      </w:r>
      <w:r w:rsidR="00057B30">
        <w:rPr>
          <w:rFonts w:ascii="Calibri" w:eastAsia="Times New Roman" w:hAnsi="Calibri" w:cs="Calibri"/>
          <w:sz w:val="24"/>
          <w:szCs w:val="20"/>
          <w:lang w:val="en-GB"/>
        </w:rPr>
        <w:t>PCC</w:t>
      </w:r>
      <w:r w:rsidRPr="00285939">
        <w:rPr>
          <w:rFonts w:ascii="Calibri" w:eastAsia="Times New Roman" w:hAnsi="Calibri" w:cs="Calibri"/>
          <w:sz w:val="24"/>
          <w:szCs w:val="20"/>
          <w:lang w:val="en-GB"/>
        </w:rPr>
        <w:t xml:space="preserve"> ha</w:t>
      </w:r>
      <w:r w:rsidR="00057B30">
        <w:rPr>
          <w:rFonts w:ascii="Calibri" w:eastAsia="Times New Roman" w:hAnsi="Calibri" w:cs="Calibri"/>
          <w:sz w:val="24"/>
          <w:szCs w:val="20"/>
          <w:lang w:val="en-GB"/>
        </w:rPr>
        <w:t>d submitted the practitioner</w:t>
      </w:r>
      <w:r w:rsidR="00F15029">
        <w:rPr>
          <w:rFonts w:ascii="Calibri" w:eastAsia="Times New Roman" w:hAnsi="Calibri" w:cs="Calibri"/>
          <w:sz w:val="24"/>
          <w:szCs w:val="20"/>
          <w:lang w:val="en-GB"/>
        </w:rPr>
        <w:t xml:space="preserve"> has</w:t>
      </w:r>
      <w:r w:rsidRPr="00285939">
        <w:rPr>
          <w:rFonts w:ascii="Calibri" w:eastAsia="Times New Roman" w:hAnsi="Calibri" w:cs="Calibri"/>
          <w:sz w:val="24"/>
          <w:szCs w:val="20"/>
          <w:lang w:val="en-GB"/>
        </w:rPr>
        <w:t xml:space="preserve"> been </w:t>
      </w:r>
      <w:r w:rsidR="00057B30">
        <w:rPr>
          <w:rFonts w:ascii="Calibri" w:eastAsia="Times New Roman" w:hAnsi="Calibri" w:cs="Calibri"/>
          <w:sz w:val="24"/>
          <w:szCs w:val="20"/>
          <w:lang w:val="en-GB"/>
        </w:rPr>
        <w:t xml:space="preserve">free from reliance on cannabis for </w:t>
      </w:r>
      <w:r w:rsidR="00DB1440">
        <w:rPr>
          <w:rFonts w:ascii="Calibri" w:eastAsia="Times New Roman" w:hAnsi="Calibri" w:cs="Calibri"/>
          <w:sz w:val="24"/>
          <w:szCs w:val="20"/>
          <w:lang w:val="en-GB"/>
        </w:rPr>
        <w:t xml:space="preserve">a year </w:t>
      </w:r>
      <w:r w:rsidR="00CD043E">
        <w:rPr>
          <w:rFonts w:ascii="Calibri" w:eastAsia="Times New Roman" w:hAnsi="Calibri" w:cs="Calibri"/>
          <w:sz w:val="24"/>
          <w:szCs w:val="20"/>
          <w:lang w:val="en-GB"/>
        </w:rPr>
        <w:t>(since her sentence was imposed)</w:t>
      </w:r>
      <w:r w:rsidRPr="00285939">
        <w:rPr>
          <w:rFonts w:ascii="Calibri" w:eastAsia="Times New Roman" w:hAnsi="Calibri" w:cs="Calibri"/>
          <w:sz w:val="24"/>
          <w:szCs w:val="20"/>
          <w:lang w:val="en-GB"/>
        </w:rPr>
        <w:t xml:space="preserve"> the Tribunal did not consider it was able to be satisfied sufficiently as to</w:t>
      </w:r>
      <w:r w:rsidR="00CD043E">
        <w:rPr>
          <w:rFonts w:ascii="Calibri" w:eastAsia="Times New Roman" w:hAnsi="Calibri" w:cs="Calibri"/>
          <w:sz w:val="24"/>
          <w:szCs w:val="20"/>
          <w:lang w:val="en-GB"/>
        </w:rPr>
        <w:t xml:space="preserve"> </w:t>
      </w:r>
      <w:r w:rsidRPr="00285939">
        <w:rPr>
          <w:rFonts w:ascii="Calibri" w:eastAsia="Times New Roman" w:hAnsi="Calibri" w:cs="Calibri"/>
          <w:sz w:val="24"/>
          <w:szCs w:val="20"/>
          <w:lang w:val="en-GB"/>
        </w:rPr>
        <w:t>h</w:t>
      </w:r>
      <w:r w:rsidR="00DB1440">
        <w:rPr>
          <w:rFonts w:ascii="Calibri" w:eastAsia="Times New Roman" w:hAnsi="Calibri" w:cs="Calibri"/>
          <w:sz w:val="24"/>
          <w:szCs w:val="20"/>
          <w:lang w:val="en-GB"/>
        </w:rPr>
        <w:t>er</w:t>
      </w:r>
      <w:r w:rsidRPr="00285939">
        <w:rPr>
          <w:rFonts w:ascii="Calibri" w:eastAsia="Times New Roman" w:hAnsi="Calibri" w:cs="Calibri"/>
          <w:sz w:val="24"/>
          <w:szCs w:val="20"/>
          <w:lang w:val="en-GB"/>
        </w:rPr>
        <w:t xml:space="preserve"> drug-free status. </w:t>
      </w:r>
    </w:p>
    <w:p w14:paraId="45EA4FFD" w14:textId="12412643" w:rsidR="00285939" w:rsidRPr="00285939" w:rsidRDefault="00285939" w:rsidP="00285939">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sidRPr="00285939">
        <w:rPr>
          <w:rFonts w:ascii="Calibri" w:eastAsia="Times New Roman" w:hAnsi="Calibri" w:cs="Calibri"/>
          <w:sz w:val="24"/>
          <w:szCs w:val="20"/>
          <w:lang w:val="en-GB"/>
        </w:rPr>
        <w:t>In any event, the Tribunal did not consider it was in a position to be able to assess what may have been appropriate conditions to impose on practice were the Tribunal to reach a view that a suspension and conditions on practice would be an appropriate penalty response</w:t>
      </w:r>
      <w:r w:rsidRPr="00285939">
        <w:rPr>
          <w:rFonts w:ascii="Calibri" w:eastAsia="Times New Roman" w:hAnsi="Calibri" w:cs="Calibri"/>
          <w:b/>
          <w:bCs/>
          <w:sz w:val="24"/>
          <w:szCs w:val="20"/>
          <w:lang w:val="en-GB"/>
        </w:rPr>
        <w:t>.</w:t>
      </w:r>
      <w:r w:rsidR="00FE768D">
        <w:rPr>
          <w:rFonts w:ascii="Calibri" w:eastAsia="Times New Roman" w:hAnsi="Calibri" w:cs="Calibri"/>
          <w:b/>
          <w:bCs/>
          <w:sz w:val="24"/>
          <w:szCs w:val="20"/>
          <w:lang w:val="en-GB"/>
        </w:rPr>
        <w:t xml:space="preserve"> </w:t>
      </w:r>
    </w:p>
    <w:p w14:paraId="490B8702" w14:textId="6CC1BD7F" w:rsidR="00285939" w:rsidRPr="00285939" w:rsidRDefault="00285939" w:rsidP="00285939">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sidRPr="00285939">
        <w:rPr>
          <w:rFonts w:ascii="Calibri" w:eastAsia="Times New Roman" w:hAnsi="Calibri" w:cs="Calibri"/>
          <w:sz w:val="24"/>
          <w:szCs w:val="20"/>
          <w:lang w:val="en-GB"/>
        </w:rPr>
        <w:t xml:space="preserve">In addition to an order cancelling </w:t>
      </w:r>
      <w:r w:rsidR="00235D75">
        <w:rPr>
          <w:rFonts w:ascii="Calibri" w:eastAsia="Times New Roman" w:hAnsi="Calibri" w:cs="Calibri"/>
          <w:sz w:val="24"/>
          <w:szCs w:val="20"/>
          <w:lang w:val="en-GB"/>
        </w:rPr>
        <w:t>the practitioner’s</w:t>
      </w:r>
      <w:r w:rsidRPr="00285939">
        <w:rPr>
          <w:rFonts w:ascii="Calibri" w:eastAsia="Times New Roman" w:hAnsi="Calibri" w:cs="Calibri"/>
          <w:sz w:val="24"/>
          <w:szCs w:val="20"/>
          <w:lang w:val="en-GB"/>
        </w:rPr>
        <w:t xml:space="preserve"> registration the Tribunal also makes an order censuring h</w:t>
      </w:r>
      <w:r w:rsidR="00235D75">
        <w:rPr>
          <w:rFonts w:ascii="Calibri" w:eastAsia="Times New Roman" w:hAnsi="Calibri" w:cs="Calibri"/>
          <w:sz w:val="24"/>
          <w:szCs w:val="20"/>
          <w:lang w:val="en-GB"/>
        </w:rPr>
        <w:t>er</w:t>
      </w:r>
      <w:r w:rsidRPr="00285939">
        <w:rPr>
          <w:rFonts w:ascii="Calibri" w:eastAsia="Times New Roman" w:hAnsi="Calibri" w:cs="Calibri"/>
          <w:sz w:val="24"/>
          <w:szCs w:val="20"/>
          <w:lang w:val="en-GB"/>
        </w:rPr>
        <w:t xml:space="preserve"> as a permanent record of the Tribunal’s disapproval of the conduct which led to the convictions, and the seriousness of those convictions.</w:t>
      </w:r>
    </w:p>
    <w:p w14:paraId="5A47395B" w14:textId="0861EF0B" w:rsidR="00285939" w:rsidRPr="00285939" w:rsidRDefault="00285939" w:rsidP="00285939">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sidRPr="00285939">
        <w:rPr>
          <w:rFonts w:ascii="Calibri" w:eastAsia="Times New Roman" w:hAnsi="Calibri" w:cs="Calibri"/>
          <w:sz w:val="24"/>
          <w:szCs w:val="20"/>
          <w:lang w:val="en-GB"/>
        </w:rPr>
        <w:t xml:space="preserve">Should </w:t>
      </w:r>
      <w:r w:rsidR="00F438E7">
        <w:rPr>
          <w:rFonts w:ascii="Calibri" w:eastAsia="Times New Roman" w:hAnsi="Calibri" w:cs="Calibri"/>
          <w:sz w:val="24"/>
          <w:szCs w:val="20"/>
          <w:lang w:val="en-GB"/>
        </w:rPr>
        <w:t>the practitioner</w:t>
      </w:r>
      <w:r w:rsidRPr="00285939">
        <w:rPr>
          <w:rFonts w:ascii="Calibri" w:eastAsia="Times New Roman" w:hAnsi="Calibri" w:cs="Calibri"/>
          <w:sz w:val="24"/>
          <w:szCs w:val="20"/>
          <w:lang w:val="en-GB"/>
        </w:rPr>
        <w:t xml:space="preserve"> ever intend to seek a return to the social work profession then </w:t>
      </w:r>
      <w:r w:rsidR="00F438E7">
        <w:rPr>
          <w:rFonts w:ascii="Calibri" w:eastAsia="Times New Roman" w:hAnsi="Calibri" w:cs="Calibri"/>
          <w:sz w:val="24"/>
          <w:szCs w:val="20"/>
          <w:lang w:val="en-GB"/>
        </w:rPr>
        <w:t>s</w:t>
      </w:r>
      <w:r w:rsidRPr="00285939">
        <w:rPr>
          <w:rFonts w:ascii="Calibri" w:eastAsia="Times New Roman" w:hAnsi="Calibri" w:cs="Calibri"/>
          <w:sz w:val="24"/>
          <w:szCs w:val="20"/>
          <w:lang w:val="en-GB"/>
        </w:rPr>
        <w:t xml:space="preserve">he will be able to make an application for registration to the Board. Any such application would have to take account of the censure and cancellation orders which the Tribunal is ordering in these proceedings, the </w:t>
      </w:r>
      <w:r w:rsidR="00567005">
        <w:rPr>
          <w:rFonts w:ascii="Calibri" w:eastAsia="Times New Roman" w:hAnsi="Calibri" w:cs="Calibri"/>
          <w:sz w:val="24"/>
          <w:szCs w:val="20"/>
          <w:lang w:val="en-GB"/>
        </w:rPr>
        <w:t>six</w:t>
      </w:r>
      <w:r w:rsidR="00567005" w:rsidRPr="00285939">
        <w:rPr>
          <w:rFonts w:ascii="Calibri" w:eastAsia="Times New Roman" w:hAnsi="Calibri" w:cs="Calibri"/>
          <w:sz w:val="24"/>
          <w:szCs w:val="20"/>
          <w:lang w:val="en-GB"/>
        </w:rPr>
        <w:t xml:space="preserve"> </w:t>
      </w:r>
      <w:r w:rsidRPr="00285939">
        <w:rPr>
          <w:rFonts w:ascii="Calibri" w:eastAsia="Times New Roman" w:hAnsi="Calibri" w:cs="Calibri"/>
          <w:sz w:val="24"/>
          <w:szCs w:val="20"/>
          <w:lang w:val="en-GB"/>
        </w:rPr>
        <w:t xml:space="preserve">convictions that were entered against </w:t>
      </w:r>
      <w:r w:rsidR="008D7875">
        <w:rPr>
          <w:rFonts w:ascii="Calibri" w:eastAsia="Times New Roman" w:hAnsi="Calibri" w:cs="Calibri"/>
          <w:sz w:val="24"/>
          <w:szCs w:val="20"/>
          <w:lang w:val="en-GB"/>
        </w:rPr>
        <w:t>the practitioner</w:t>
      </w:r>
      <w:r w:rsidRPr="00285939">
        <w:rPr>
          <w:rFonts w:ascii="Calibri" w:eastAsia="Times New Roman" w:hAnsi="Calibri" w:cs="Calibri"/>
          <w:sz w:val="24"/>
          <w:szCs w:val="20"/>
          <w:lang w:val="en-GB"/>
        </w:rPr>
        <w:t xml:space="preserve"> and the factual circumstances of the offending. Further, there would also be a need to take account of matters th</w:t>
      </w:r>
      <w:r w:rsidR="003B66EC">
        <w:rPr>
          <w:rFonts w:ascii="Calibri" w:eastAsia="Times New Roman" w:hAnsi="Calibri" w:cs="Calibri"/>
          <w:sz w:val="24"/>
          <w:szCs w:val="20"/>
          <w:lang w:val="en-GB"/>
        </w:rPr>
        <w:t>e</w:t>
      </w:r>
      <w:r w:rsidR="008D7875">
        <w:rPr>
          <w:rFonts w:ascii="Calibri" w:eastAsia="Times New Roman" w:hAnsi="Calibri" w:cs="Calibri"/>
          <w:sz w:val="24"/>
          <w:szCs w:val="20"/>
          <w:lang w:val="en-GB"/>
        </w:rPr>
        <w:t xml:space="preserve"> practitioner</w:t>
      </w:r>
      <w:r w:rsidRPr="00285939">
        <w:rPr>
          <w:rFonts w:ascii="Calibri" w:eastAsia="Times New Roman" w:hAnsi="Calibri" w:cs="Calibri"/>
          <w:sz w:val="24"/>
          <w:szCs w:val="20"/>
          <w:lang w:val="en-GB"/>
        </w:rPr>
        <w:t xml:space="preserve"> may advance to the Board, as the registration authority, that there is no possibility </w:t>
      </w:r>
      <w:r w:rsidR="003B66EC">
        <w:rPr>
          <w:rFonts w:ascii="Calibri" w:eastAsia="Times New Roman" w:hAnsi="Calibri" w:cs="Calibri"/>
          <w:sz w:val="24"/>
          <w:szCs w:val="20"/>
          <w:lang w:val="en-GB"/>
        </w:rPr>
        <w:t>s</w:t>
      </w:r>
      <w:r w:rsidRPr="00285939">
        <w:rPr>
          <w:rFonts w:ascii="Calibri" w:eastAsia="Times New Roman" w:hAnsi="Calibri" w:cs="Calibri"/>
          <w:sz w:val="24"/>
          <w:szCs w:val="20"/>
          <w:lang w:val="en-GB"/>
        </w:rPr>
        <w:t>he will reoffend</w:t>
      </w:r>
      <w:r w:rsidR="003B66EC">
        <w:rPr>
          <w:rFonts w:ascii="Calibri" w:eastAsia="Times New Roman" w:hAnsi="Calibri" w:cs="Calibri"/>
          <w:sz w:val="24"/>
          <w:szCs w:val="20"/>
          <w:lang w:val="en-GB"/>
        </w:rPr>
        <w:t xml:space="preserve">, </w:t>
      </w:r>
      <w:r w:rsidRPr="00285939">
        <w:rPr>
          <w:rFonts w:ascii="Calibri" w:eastAsia="Times New Roman" w:hAnsi="Calibri" w:cs="Calibri"/>
          <w:sz w:val="24"/>
          <w:szCs w:val="20"/>
          <w:lang w:val="en-GB"/>
        </w:rPr>
        <w:t>that the public is adequately protected</w:t>
      </w:r>
      <w:r w:rsidR="003B66EC">
        <w:rPr>
          <w:rFonts w:ascii="Calibri" w:eastAsia="Times New Roman" w:hAnsi="Calibri" w:cs="Calibri"/>
          <w:sz w:val="24"/>
          <w:szCs w:val="20"/>
          <w:lang w:val="en-GB"/>
        </w:rPr>
        <w:t xml:space="preserve"> from her</w:t>
      </w:r>
      <w:r w:rsidRPr="00285939">
        <w:rPr>
          <w:rFonts w:ascii="Calibri" w:eastAsia="Times New Roman" w:hAnsi="Calibri" w:cs="Calibri"/>
          <w:sz w:val="24"/>
          <w:szCs w:val="20"/>
          <w:lang w:val="en-GB"/>
        </w:rPr>
        <w:t xml:space="preserve"> and that </w:t>
      </w:r>
      <w:r w:rsidR="003B66EC">
        <w:rPr>
          <w:rFonts w:ascii="Calibri" w:eastAsia="Times New Roman" w:hAnsi="Calibri" w:cs="Calibri"/>
          <w:sz w:val="24"/>
          <w:szCs w:val="20"/>
          <w:lang w:val="en-GB"/>
        </w:rPr>
        <w:t>she will maintain</w:t>
      </w:r>
      <w:r w:rsidR="00FF3015">
        <w:rPr>
          <w:rFonts w:ascii="Calibri" w:eastAsia="Times New Roman" w:hAnsi="Calibri" w:cs="Calibri"/>
          <w:sz w:val="24"/>
          <w:szCs w:val="20"/>
          <w:lang w:val="en-GB"/>
        </w:rPr>
        <w:t xml:space="preserve"> the standards of</w:t>
      </w:r>
      <w:r w:rsidR="003B66EC">
        <w:rPr>
          <w:rFonts w:ascii="Calibri" w:eastAsia="Times New Roman" w:hAnsi="Calibri" w:cs="Calibri"/>
          <w:sz w:val="24"/>
          <w:szCs w:val="20"/>
          <w:lang w:val="en-GB"/>
        </w:rPr>
        <w:t xml:space="preserve"> </w:t>
      </w:r>
      <w:r w:rsidRPr="00285939">
        <w:rPr>
          <w:rFonts w:ascii="Calibri" w:eastAsia="Times New Roman" w:hAnsi="Calibri" w:cs="Calibri"/>
          <w:sz w:val="24"/>
          <w:szCs w:val="20"/>
          <w:lang w:val="en-GB"/>
        </w:rPr>
        <w:t xml:space="preserve">social work </w:t>
      </w:r>
      <w:r w:rsidR="00FF3015">
        <w:rPr>
          <w:rFonts w:ascii="Calibri" w:eastAsia="Times New Roman" w:hAnsi="Calibri" w:cs="Calibri"/>
          <w:sz w:val="24"/>
          <w:szCs w:val="20"/>
          <w:lang w:val="en-GB"/>
        </w:rPr>
        <w:t>profession</w:t>
      </w:r>
      <w:r w:rsidRPr="00285939">
        <w:rPr>
          <w:rFonts w:ascii="Calibri" w:eastAsia="Times New Roman" w:hAnsi="Calibri" w:cs="Calibri"/>
          <w:sz w:val="24"/>
          <w:szCs w:val="20"/>
          <w:lang w:val="en-GB"/>
        </w:rPr>
        <w:t>.</w:t>
      </w:r>
    </w:p>
    <w:p w14:paraId="79704BE5" w14:textId="77777777" w:rsidR="00285939" w:rsidRPr="00285939" w:rsidRDefault="00285939" w:rsidP="00285939">
      <w:pPr>
        <w:tabs>
          <w:tab w:val="left" w:pos="709"/>
        </w:tabs>
        <w:spacing w:after="0" w:line="360" w:lineRule="auto"/>
        <w:ind w:left="567"/>
        <w:contextualSpacing/>
        <w:jc w:val="both"/>
        <w:rPr>
          <w:rFonts w:ascii="Calibri" w:eastAsia="Times New Roman" w:hAnsi="Calibri" w:cs="Calibri"/>
          <w:sz w:val="24"/>
          <w:szCs w:val="20"/>
          <w:lang w:val="en-GB"/>
        </w:rPr>
      </w:pPr>
    </w:p>
    <w:p w14:paraId="641C8959" w14:textId="77777777" w:rsidR="00285939" w:rsidRPr="00285939" w:rsidRDefault="00285939" w:rsidP="00285939">
      <w:pPr>
        <w:tabs>
          <w:tab w:val="left" w:pos="709"/>
        </w:tabs>
        <w:spacing w:after="0" w:line="360" w:lineRule="auto"/>
        <w:contextualSpacing/>
        <w:jc w:val="both"/>
        <w:rPr>
          <w:rFonts w:ascii="Calibri" w:eastAsia="Times New Roman" w:hAnsi="Calibri" w:cs="Calibri"/>
          <w:i/>
          <w:iCs/>
          <w:sz w:val="24"/>
          <w:szCs w:val="20"/>
          <w:lang w:val="en-GB"/>
        </w:rPr>
      </w:pPr>
      <w:r w:rsidRPr="00285939">
        <w:rPr>
          <w:rFonts w:ascii="Calibri" w:eastAsia="Times New Roman" w:hAnsi="Calibri" w:cs="Calibri"/>
          <w:i/>
          <w:iCs/>
          <w:sz w:val="24"/>
          <w:szCs w:val="20"/>
          <w:lang w:val="en-GB"/>
        </w:rPr>
        <w:t>Costs</w:t>
      </w:r>
    </w:p>
    <w:p w14:paraId="35CE1099" w14:textId="77777777" w:rsidR="00285939" w:rsidRPr="00285939" w:rsidRDefault="00285939" w:rsidP="00285939">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sidRPr="00285939">
        <w:rPr>
          <w:rFonts w:ascii="Calibri" w:eastAsia="Times New Roman" w:hAnsi="Calibri" w:cs="Calibri"/>
          <w:sz w:val="24"/>
          <w:szCs w:val="20"/>
          <w:lang w:val="en-GB"/>
        </w:rPr>
        <w:t>The PCC sought an order of costs, having referred to relevant principles</w:t>
      </w:r>
      <w:r w:rsidRPr="00285939">
        <w:rPr>
          <w:rFonts w:ascii="Calibri" w:eastAsia="Times New Roman" w:hAnsi="Calibri" w:cs="Calibri"/>
          <w:sz w:val="24"/>
          <w:szCs w:val="20"/>
          <w:vertAlign w:val="superscript"/>
          <w:lang w:val="en-GB"/>
        </w:rPr>
        <w:footnoteReference w:id="31"/>
      </w:r>
      <w:r w:rsidRPr="00285939">
        <w:rPr>
          <w:rFonts w:ascii="Calibri" w:eastAsia="Times New Roman" w:hAnsi="Calibri" w:cs="Calibri"/>
          <w:sz w:val="24"/>
          <w:szCs w:val="20"/>
          <w:lang w:val="en-GB"/>
        </w:rPr>
        <w:t xml:space="preserve"> including that</w:t>
      </w:r>
    </w:p>
    <w:p w14:paraId="3D5F7B53" w14:textId="77777777" w:rsidR="00285939" w:rsidRPr="00285939" w:rsidRDefault="00285939" w:rsidP="007D0BAB">
      <w:pPr>
        <w:numPr>
          <w:ilvl w:val="1"/>
          <w:numId w:val="1"/>
        </w:numPr>
        <w:tabs>
          <w:tab w:val="left" w:pos="709"/>
        </w:tabs>
        <w:spacing w:after="0" w:line="360" w:lineRule="auto"/>
        <w:ind w:left="1701" w:hanging="567"/>
        <w:contextualSpacing/>
        <w:jc w:val="both"/>
        <w:rPr>
          <w:rFonts w:ascii="Calibri" w:eastAsia="Times New Roman" w:hAnsi="Calibri" w:cs="Calibri"/>
          <w:sz w:val="24"/>
          <w:szCs w:val="20"/>
          <w:lang w:val="en-GB"/>
        </w:rPr>
      </w:pPr>
      <w:r w:rsidRPr="00285939">
        <w:rPr>
          <w:rFonts w:ascii="Calibri" w:eastAsia="Times New Roman" w:hAnsi="Calibri" w:cs="Calibri"/>
          <w:sz w:val="24"/>
          <w:szCs w:val="20"/>
          <w:lang w:val="en-GB"/>
        </w:rPr>
        <w:t>The full cost of investigating and prosecuting a social worker should not fall on the social work profession (as a whole).</w:t>
      </w:r>
    </w:p>
    <w:p w14:paraId="130AEC68" w14:textId="77777777" w:rsidR="00285939" w:rsidRPr="00285939" w:rsidRDefault="00285939" w:rsidP="007D0BAB">
      <w:pPr>
        <w:numPr>
          <w:ilvl w:val="1"/>
          <w:numId w:val="1"/>
        </w:numPr>
        <w:tabs>
          <w:tab w:val="left" w:pos="709"/>
        </w:tabs>
        <w:spacing w:after="0" w:line="360" w:lineRule="auto"/>
        <w:ind w:left="1701" w:hanging="567"/>
        <w:contextualSpacing/>
        <w:jc w:val="both"/>
        <w:rPr>
          <w:rFonts w:ascii="Calibri" w:eastAsia="Times New Roman" w:hAnsi="Calibri" w:cs="Calibri"/>
          <w:sz w:val="24"/>
          <w:szCs w:val="20"/>
          <w:lang w:val="en-GB"/>
        </w:rPr>
      </w:pPr>
      <w:r w:rsidRPr="00285939">
        <w:rPr>
          <w:rFonts w:ascii="Calibri" w:eastAsia="Times New Roman" w:hAnsi="Calibri" w:cs="Calibri"/>
          <w:sz w:val="24"/>
          <w:szCs w:val="20"/>
          <w:lang w:val="en-GB"/>
        </w:rPr>
        <w:t>Members of the profession who appear on disciplinary charges should make a proper contribution towards the costs of the investigation, prosecution, and the hearing.</w:t>
      </w:r>
    </w:p>
    <w:p w14:paraId="251C0FAD" w14:textId="77777777" w:rsidR="00285939" w:rsidRPr="00285939" w:rsidRDefault="00285939" w:rsidP="007D0BAB">
      <w:pPr>
        <w:numPr>
          <w:ilvl w:val="1"/>
          <w:numId w:val="1"/>
        </w:numPr>
        <w:tabs>
          <w:tab w:val="left" w:pos="709"/>
        </w:tabs>
        <w:spacing w:after="0" w:line="360" w:lineRule="auto"/>
        <w:ind w:left="1701" w:hanging="567"/>
        <w:contextualSpacing/>
        <w:jc w:val="both"/>
        <w:rPr>
          <w:rFonts w:ascii="Calibri" w:eastAsia="Times New Roman" w:hAnsi="Calibri" w:cs="Calibri"/>
          <w:sz w:val="24"/>
          <w:szCs w:val="20"/>
          <w:lang w:val="en-GB"/>
        </w:rPr>
      </w:pPr>
      <w:r w:rsidRPr="00285939">
        <w:rPr>
          <w:rFonts w:ascii="Calibri" w:eastAsia="Times New Roman" w:hAnsi="Calibri" w:cs="Calibri"/>
          <w:sz w:val="24"/>
          <w:szCs w:val="20"/>
          <w:lang w:val="en-GB"/>
        </w:rPr>
        <w:t>Costs are not punitive.</w:t>
      </w:r>
    </w:p>
    <w:p w14:paraId="409214AC" w14:textId="77777777" w:rsidR="00285939" w:rsidRPr="00285939" w:rsidRDefault="00285939" w:rsidP="007D0BAB">
      <w:pPr>
        <w:numPr>
          <w:ilvl w:val="1"/>
          <w:numId w:val="1"/>
        </w:numPr>
        <w:tabs>
          <w:tab w:val="left" w:pos="709"/>
        </w:tabs>
        <w:spacing w:after="0" w:line="360" w:lineRule="auto"/>
        <w:ind w:left="1701" w:hanging="567"/>
        <w:contextualSpacing/>
        <w:jc w:val="both"/>
        <w:rPr>
          <w:rFonts w:ascii="Calibri" w:eastAsia="Times New Roman" w:hAnsi="Calibri" w:cs="Calibri"/>
          <w:sz w:val="24"/>
          <w:szCs w:val="20"/>
          <w:lang w:val="en-GB"/>
        </w:rPr>
      </w:pPr>
      <w:r w:rsidRPr="00285939">
        <w:rPr>
          <w:rFonts w:ascii="Calibri" w:eastAsia="Times New Roman" w:hAnsi="Calibri" w:cs="Calibri"/>
          <w:sz w:val="24"/>
          <w:szCs w:val="20"/>
          <w:lang w:val="en-GB"/>
        </w:rPr>
        <w:t>A social worker’s means, if known, are to be considered.</w:t>
      </w:r>
    </w:p>
    <w:p w14:paraId="67CDBE8F" w14:textId="77777777" w:rsidR="009221F6" w:rsidRDefault="009221F6" w:rsidP="009221F6">
      <w:pPr>
        <w:tabs>
          <w:tab w:val="left" w:pos="709"/>
        </w:tabs>
        <w:spacing w:after="0" w:line="360" w:lineRule="auto"/>
        <w:ind w:left="1701"/>
        <w:contextualSpacing/>
        <w:jc w:val="both"/>
        <w:rPr>
          <w:rFonts w:ascii="Calibri" w:eastAsia="Times New Roman" w:hAnsi="Calibri" w:cs="Calibri"/>
          <w:sz w:val="24"/>
          <w:szCs w:val="20"/>
          <w:lang w:val="en-GB"/>
        </w:rPr>
      </w:pPr>
    </w:p>
    <w:p w14:paraId="3F2FE67F" w14:textId="77777777" w:rsidR="00285939" w:rsidRPr="00285939" w:rsidRDefault="00285939" w:rsidP="007D0BAB">
      <w:pPr>
        <w:numPr>
          <w:ilvl w:val="1"/>
          <w:numId w:val="1"/>
        </w:numPr>
        <w:tabs>
          <w:tab w:val="left" w:pos="709"/>
        </w:tabs>
        <w:spacing w:after="0" w:line="360" w:lineRule="auto"/>
        <w:ind w:left="1701" w:hanging="567"/>
        <w:contextualSpacing/>
        <w:jc w:val="both"/>
        <w:rPr>
          <w:rFonts w:ascii="Calibri" w:eastAsia="Times New Roman" w:hAnsi="Calibri" w:cs="Calibri"/>
          <w:sz w:val="24"/>
          <w:szCs w:val="20"/>
          <w:lang w:val="en-GB"/>
        </w:rPr>
      </w:pPr>
      <w:r w:rsidRPr="00285939">
        <w:rPr>
          <w:rFonts w:ascii="Calibri" w:eastAsia="Times New Roman" w:hAnsi="Calibri" w:cs="Calibri"/>
          <w:sz w:val="24"/>
          <w:szCs w:val="20"/>
          <w:lang w:val="en-GB"/>
        </w:rPr>
        <w:t>A social worker has a right to defend himself or herself and should not be deterred by the risk of a costs order; and</w:t>
      </w:r>
    </w:p>
    <w:p w14:paraId="2BAA7213" w14:textId="77777777" w:rsidR="00285939" w:rsidRPr="00285939" w:rsidRDefault="00285939" w:rsidP="007D0BAB">
      <w:pPr>
        <w:numPr>
          <w:ilvl w:val="1"/>
          <w:numId w:val="1"/>
        </w:numPr>
        <w:tabs>
          <w:tab w:val="left" w:pos="709"/>
        </w:tabs>
        <w:spacing w:after="0" w:line="360" w:lineRule="auto"/>
        <w:ind w:left="1701" w:hanging="567"/>
        <w:contextualSpacing/>
        <w:jc w:val="both"/>
        <w:rPr>
          <w:rFonts w:ascii="Calibri" w:eastAsia="Times New Roman" w:hAnsi="Calibri" w:cs="Calibri"/>
          <w:sz w:val="24"/>
          <w:szCs w:val="20"/>
          <w:lang w:val="en-GB"/>
        </w:rPr>
      </w:pPr>
      <w:r w:rsidRPr="00285939">
        <w:rPr>
          <w:rFonts w:ascii="Calibri" w:eastAsia="Times New Roman" w:hAnsi="Calibri" w:cs="Calibri"/>
          <w:sz w:val="24"/>
          <w:szCs w:val="20"/>
          <w:lang w:val="en-GB"/>
        </w:rPr>
        <w:t>In a general way 50% of reasonable costs is a guide to an appropriate costs order subject to a discretion to adjust upwards or downwards.</w:t>
      </w:r>
    </w:p>
    <w:p w14:paraId="44E717DF" w14:textId="05AE8E00" w:rsidR="00285939" w:rsidRPr="00285939" w:rsidRDefault="00285939" w:rsidP="00285939">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sidRPr="00285939">
        <w:rPr>
          <w:rFonts w:ascii="Calibri" w:eastAsia="Times New Roman" w:hAnsi="Calibri" w:cs="Calibri"/>
          <w:sz w:val="24"/>
          <w:szCs w:val="20"/>
          <w:lang w:val="en-GB"/>
        </w:rPr>
        <w:t>The PCC indicated that the reasonable costs</w:t>
      </w:r>
      <w:r w:rsidR="00D90631">
        <w:rPr>
          <w:rFonts w:ascii="Calibri" w:eastAsia="Times New Roman" w:hAnsi="Calibri" w:cs="Calibri"/>
          <w:sz w:val="24"/>
          <w:szCs w:val="20"/>
          <w:lang w:val="en-GB"/>
        </w:rPr>
        <w:t xml:space="preserve"> and expenses</w:t>
      </w:r>
      <w:r w:rsidRPr="00285939">
        <w:rPr>
          <w:rFonts w:ascii="Calibri" w:eastAsia="Times New Roman" w:hAnsi="Calibri" w:cs="Calibri"/>
          <w:sz w:val="24"/>
          <w:szCs w:val="20"/>
          <w:lang w:val="en-GB"/>
        </w:rPr>
        <w:t xml:space="preserve"> incurred for its investigation and prosecution of the Charge totalled $</w:t>
      </w:r>
      <w:r w:rsidR="00B146AF">
        <w:rPr>
          <w:rFonts w:ascii="Calibri" w:eastAsia="Times New Roman" w:hAnsi="Calibri" w:cs="Calibri"/>
          <w:sz w:val="24"/>
          <w:szCs w:val="20"/>
          <w:lang w:val="en-GB"/>
        </w:rPr>
        <w:t>2,760.00</w:t>
      </w:r>
      <w:r w:rsidR="008D1B96">
        <w:rPr>
          <w:rFonts w:ascii="Calibri" w:eastAsia="Times New Roman" w:hAnsi="Calibri" w:cs="Calibri"/>
          <w:sz w:val="24"/>
          <w:szCs w:val="20"/>
          <w:lang w:val="en-GB"/>
        </w:rPr>
        <w:t xml:space="preserve"> (excluding GST)</w:t>
      </w:r>
      <w:r w:rsidRPr="00285939">
        <w:rPr>
          <w:rFonts w:ascii="Calibri" w:eastAsia="Times New Roman" w:hAnsi="Calibri" w:cs="Calibri"/>
          <w:sz w:val="24"/>
          <w:szCs w:val="20"/>
          <w:lang w:val="en-GB"/>
        </w:rPr>
        <w:t xml:space="preserve">. </w:t>
      </w:r>
      <w:r w:rsidR="00B146AF">
        <w:rPr>
          <w:rFonts w:ascii="Calibri" w:eastAsia="Times New Roman" w:hAnsi="Calibri" w:cs="Calibri"/>
          <w:sz w:val="24"/>
          <w:szCs w:val="20"/>
          <w:lang w:val="en-GB"/>
        </w:rPr>
        <w:t xml:space="preserve">The Tribunal accepted those were modest costs. </w:t>
      </w:r>
      <w:r w:rsidRPr="00285939">
        <w:rPr>
          <w:rFonts w:ascii="Calibri" w:eastAsia="Times New Roman" w:hAnsi="Calibri" w:cs="Calibri"/>
          <w:sz w:val="24"/>
          <w:szCs w:val="20"/>
          <w:lang w:val="en-GB"/>
        </w:rPr>
        <w:t xml:space="preserve"> The costs </w:t>
      </w:r>
      <w:r w:rsidR="00D90631">
        <w:rPr>
          <w:rFonts w:ascii="Calibri" w:eastAsia="Times New Roman" w:hAnsi="Calibri" w:cs="Calibri"/>
          <w:sz w:val="24"/>
          <w:szCs w:val="20"/>
          <w:lang w:val="en-GB"/>
        </w:rPr>
        <w:t xml:space="preserve">and expenses </w:t>
      </w:r>
      <w:r w:rsidRPr="00285939">
        <w:rPr>
          <w:rFonts w:ascii="Calibri" w:eastAsia="Times New Roman" w:hAnsi="Calibri" w:cs="Calibri"/>
          <w:sz w:val="24"/>
          <w:szCs w:val="20"/>
          <w:lang w:val="en-GB"/>
        </w:rPr>
        <w:t>for the Tribunal were estimated</w:t>
      </w:r>
      <w:r w:rsidR="007F7005">
        <w:rPr>
          <w:rFonts w:ascii="Calibri" w:eastAsia="Times New Roman" w:hAnsi="Calibri" w:cs="Calibri"/>
          <w:sz w:val="24"/>
          <w:szCs w:val="20"/>
          <w:lang w:val="en-GB"/>
        </w:rPr>
        <w:t xml:space="preserve"> to be $</w:t>
      </w:r>
      <w:r w:rsidR="00F60724">
        <w:rPr>
          <w:rFonts w:ascii="Calibri" w:eastAsia="Times New Roman" w:hAnsi="Calibri" w:cs="Calibri"/>
          <w:sz w:val="24"/>
          <w:szCs w:val="20"/>
          <w:lang w:val="en-GB"/>
        </w:rPr>
        <w:t>6,563.00</w:t>
      </w:r>
      <w:r w:rsidR="008D1B96">
        <w:rPr>
          <w:rFonts w:ascii="Calibri" w:eastAsia="Times New Roman" w:hAnsi="Calibri" w:cs="Calibri"/>
          <w:sz w:val="24"/>
          <w:szCs w:val="20"/>
          <w:lang w:val="en-GB"/>
        </w:rPr>
        <w:t xml:space="preserve"> (excluding GST)</w:t>
      </w:r>
      <w:r w:rsidR="007F7005">
        <w:rPr>
          <w:rFonts w:ascii="Calibri" w:eastAsia="Times New Roman" w:hAnsi="Calibri" w:cs="Calibri"/>
          <w:sz w:val="24"/>
          <w:szCs w:val="20"/>
          <w:lang w:val="en-GB"/>
        </w:rPr>
        <w:t>.</w:t>
      </w:r>
      <w:r w:rsidR="008D1B96">
        <w:rPr>
          <w:rFonts w:ascii="Calibri" w:eastAsia="Times New Roman" w:hAnsi="Calibri" w:cs="Calibri"/>
          <w:sz w:val="24"/>
          <w:szCs w:val="20"/>
          <w:lang w:val="en-GB"/>
        </w:rPr>
        <w:t xml:space="preserve"> </w:t>
      </w:r>
    </w:p>
    <w:p w14:paraId="708B9F19" w14:textId="2BBF9B4C" w:rsidR="00285939" w:rsidRDefault="00285939" w:rsidP="00285939">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sidRPr="00285939">
        <w:rPr>
          <w:rFonts w:ascii="Calibri" w:eastAsia="Times New Roman" w:hAnsi="Calibri" w:cs="Calibri"/>
          <w:sz w:val="24"/>
          <w:szCs w:val="20"/>
          <w:lang w:val="en-GB"/>
        </w:rPr>
        <w:t xml:space="preserve">The PCC submitted that </w:t>
      </w:r>
      <w:r w:rsidR="00D90631">
        <w:rPr>
          <w:rFonts w:ascii="Calibri" w:eastAsia="Times New Roman" w:hAnsi="Calibri" w:cs="Calibri"/>
          <w:sz w:val="24"/>
          <w:szCs w:val="20"/>
          <w:lang w:val="en-GB"/>
        </w:rPr>
        <w:t>its</w:t>
      </w:r>
      <w:r w:rsidRPr="00285939">
        <w:rPr>
          <w:rFonts w:ascii="Calibri" w:eastAsia="Times New Roman" w:hAnsi="Calibri" w:cs="Calibri"/>
          <w:sz w:val="24"/>
          <w:szCs w:val="20"/>
          <w:lang w:val="en-GB"/>
        </w:rPr>
        <w:t xml:space="preserve"> costs in this case are “relatively modest” partly due to </w:t>
      </w:r>
      <w:r w:rsidR="007F7005">
        <w:rPr>
          <w:rFonts w:ascii="Calibri" w:eastAsia="Times New Roman" w:hAnsi="Calibri" w:cs="Calibri"/>
          <w:sz w:val="24"/>
          <w:szCs w:val="20"/>
          <w:lang w:val="en-GB"/>
        </w:rPr>
        <w:t>the practitioner’s</w:t>
      </w:r>
      <w:r w:rsidRPr="00285939">
        <w:rPr>
          <w:rFonts w:ascii="Calibri" w:eastAsia="Times New Roman" w:hAnsi="Calibri" w:cs="Calibri"/>
          <w:sz w:val="24"/>
          <w:szCs w:val="20"/>
          <w:lang w:val="en-GB"/>
        </w:rPr>
        <w:t xml:space="preserve"> cooperation with the investigation. It was also submitted that having served a sentence of home detention </w:t>
      </w:r>
      <w:r w:rsidR="00DE1E45">
        <w:rPr>
          <w:rFonts w:ascii="Calibri" w:eastAsia="Times New Roman" w:hAnsi="Calibri" w:cs="Calibri"/>
          <w:sz w:val="24"/>
          <w:szCs w:val="20"/>
          <w:lang w:val="en-GB"/>
        </w:rPr>
        <w:t>the practitioner has</w:t>
      </w:r>
      <w:r w:rsidRPr="00285939">
        <w:rPr>
          <w:rFonts w:ascii="Calibri" w:eastAsia="Times New Roman" w:hAnsi="Calibri" w:cs="Calibri"/>
          <w:sz w:val="24"/>
          <w:szCs w:val="20"/>
          <w:lang w:val="en-GB"/>
        </w:rPr>
        <w:t xml:space="preserve"> been unable to work</w:t>
      </w:r>
      <w:r w:rsidR="00DE1E45">
        <w:rPr>
          <w:rFonts w:ascii="Calibri" w:eastAsia="Times New Roman" w:hAnsi="Calibri" w:cs="Calibri"/>
          <w:sz w:val="24"/>
          <w:szCs w:val="20"/>
          <w:lang w:val="en-GB"/>
        </w:rPr>
        <w:t xml:space="preserve"> for the past ten months</w:t>
      </w:r>
      <w:r w:rsidRPr="00285939">
        <w:rPr>
          <w:rFonts w:ascii="Calibri" w:eastAsia="Times New Roman" w:hAnsi="Calibri" w:cs="Calibri"/>
          <w:sz w:val="24"/>
          <w:szCs w:val="20"/>
          <w:lang w:val="en-GB"/>
        </w:rPr>
        <w:t xml:space="preserve">. It was submitted that </w:t>
      </w:r>
      <w:r w:rsidR="005E1CB9">
        <w:rPr>
          <w:rFonts w:ascii="Calibri" w:eastAsia="Times New Roman" w:hAnsi="Calibri" w:cs="Calibri"/>
          <w:sz w:val="24"/>
          <w:szCs w:val="20"/>
          <w:lang w:val="en-GB"/>
        </w:rPr>
        <w:t xml:space="preserve">the Tribunal should take account of </w:t>
      </w:r>
      <w:r w:rsidRPr="00285939">
        <w:rPr>
          <w:rFonts w:ascii="Calibri" w:eastAsia="Times New Roman" w:hAnsi="Calibri" w:cs="Calibri"/>
          <w:sz w:val="24"/>
          <w:szCs w:val="20"/>
          <w:lang w:val="en-GB"/>
        </w:rPr>
        <w:t>those</w:t>
      </w:r>
      <w:r w:rsidR="005E1CB9">
        <w:rPr>
          <w:rFonts w:ascii="Calibri" w:eastAsia="Times New Roman" w:hAnsi="Calibri" w:cs="Calibri"/>
          <w:sz w:val="24"/>
          <w:szCs w:val="20"/>
          <w:lang w:val="en-GB"/>
        </w:rPr>
        <w:t xml:space="preserve"> matters </w:t>
      </w:r>
      <w:r w:rsidRPr="00285939">
        <w:rPr>
          <w:rFonts w:ascii="Calibri" w:eastAsia="Times New Roman" w:hAnsi="Calibri" w:cs="Calibri"/>
          <w:sz w:val="24"/>
          <w:szCs w:val="20"/>
          <w:lang w:val="en-GB"/>
        </w:rPr>
        <w:t xml:space="preserve">when considering </w:t>
      </w:r>
      <w:r w:rsidR="00877C30">
        <w:rPr>
          <w:rFonts w:ascii="Calibri" w:eastAsia="Times New Roman" w:hAnsi="Calibri" w:cs="Calibri"/>
          <w:sz w:val="24"/>
          <w:szCs w:val="20"/>
          <w:lang w:val="en-GB"/>
        </w:rPr>
        <w:t>a</w:t>
      </w:r>
      <w:r w:rsidRPr="00285939">
        <w:rPr>
          <w:rFonts w:ascii="Calibri" w:eastAsia="Times New Roman" w:hAnsi="Calibri" w:cs="Calibri"/>
          <w:sz w:val="24"/>
          <w:szCs w:val="20"/>
          <w:lang w:val="en-GB"/>
        </w:rPr>
        <w:t xml:space="preserve"> costs</w:t>
      </w:r>
      <w:r w:rsidR="00877C30">
        <w:rPr>
          <w:rFonts w:ascii="Calibri" w:eastAsia="Times New Roman" w:hAnsi="Calibri" w:cs="Calibri"/>
          <w:sz w:val="24"/>
          <w:szCs w:val="20"/>
          <w:lang w:val="en-GB"/>
        </w:rPr>
        <w:t xml:space="preserve"> order</w:t>
      </w:r>
      <w:r w:rsidRPr="00285939">
        <w:rPr>
          <w:rFonts w:ascii="Calibri" w:eastAsia="Times New Roman" w:hAnsi="Calibri" w:cs="Calibri"/>
          <w:sz w:val="24"/>
          <w:szCs w:val="20"/>
          <w:lang w:val="en-GB"/>
        </w:rPr>
        <w:t>.</w:t>
      </w:r>
    </w:p>
    <w:p w14:paraId="1176C136" w14:textId="39965A4A" w:rsidR="00C655B3" w:rsidRPr="00285939" w:rsidRDefault="00C655B3" w:rsidP="00285939">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Pr>
          <w:rFonts w:ascii="Calibri" w:eastAsia="Times New Roman" w:hAnsi="Calibri" w:cs="Calibri"/>
          <w:sz w:val="24"/>
          <w:szCs w:val="20"/>
          <w:lang w:val="en-GB"/>
        </w:rPr>
        <w:t xml:space="preserve">As the practitioner did not attend the hearing, having “withdrawn” from </w:t>
      </w:r>
      <w:r w:rsidR="004E617E">
        <w:rPr>
          <w:rFonts w:ascii="Calibri" w:eastAsia="Times New Roman" w:hAnsi="Calibri" w:cs="Calibri"/>
          <w:sz w:val="24"/>
          <w:szCs w:val="20"/>
          <w:lang w:val="en-GB"/>
        </w:rPr>
        <w:t>participating in the proceedings in August 2020</w:t>
      </w:r>
      <w:r w:rsidR="00D90631">
        <w:rPr>
          <w:rFonts w:ascii="Calibri" w:eastAsia="Times New Roman" w:hAnsi="Calibri" w:cs="Calibri"/>
          <w:sz w:val="24"/>
          <w:szCs w:val="20"/>
          <w:lang w:val="en-GB"/>
        </w:rPr>
        <w:t>,</w:t>
      </w:r>
      <w:r w:rsidR="00DB581B">
        <w:rPr>
          <w:rFonts w:ascii="Calibri" w:eastAsia="Times New Roman" w:hAnsi="Calibri" w:cs="Calibri"/>
          <w:sz w:val="24"/>
          <w:szCs w:val="20"/>
          <w:lang w:val="en-GB"/>
        </w:rPr>
        <w:t xml:space="preserve"> following the hearing</w:t>
      </w:r>
      <w:r w:rsidR="004E617E">
        <w:rPr>
          <w:rFonts w:ascii="Calibri" w:eastAsia="Times New Roman" w:hAnsi="Calibri" w:cs="Calibri"/>
          <w:sz w:val="24"/>
          <w:szCs w:val="20"/>
          <w:lang w:val="en-GB"/>
        </w:rPr>
        <w:t xml:space="preserve"> the Tribunal invited the practitioner to provide any information she wished the Tribunal</w:t>
      </w:r>
      <w:r w:rsidR="00DB581B">
        <w:rPr>
          <w:rFonts w:ascii="Calibri" w:eastAsia="Times New Roman" w:hAnsi="Calibri" w:cs="Calibri"/>
          <w:sz w:val="24"/>
          <w:szCs w:val="20"/>
          <w:lang w:val="en-GB"/>
        </w:rPr>
        <w:t xml:space="preserve"> to consider</w:t>
      </w:r>
      <w:r w:rsidR="004E617E">
        <w:rPr>
          <w:rFonts w:ascii="Calibri" w:eastAsia="Times New Roman" w:hAnsi="Calibri" w:cs="Calibri"/>
          <w:sz w:val="24"/>
          <w:szCs w:val="20"/>
          <w:lang w:val="en-GB"/>
        </w:rPr>
        <w:t xml:space="preserve"> as to her current financial means. The practitioner did not respond</w:t>
      </w:r>
      <w:r w:rsidR="006568EE">
        <w:rPr>
          <w:rFonts w:ascii="Calibri" w:eastAsia="Times New Roman" w:hAnsi="Calibri" w:cs="Calibri"/>
          <w:sz w:val="24"/>
          <w:szCs w:val="20"/>
          <w:lang w:val="en-GB"/>
        </w:rPr>
        <w:t xml:space="preserve"> to</w:t>
      </w:r>
      <w:r w:rsidR="004E617E">
        <w:rPr>
          <w:rFonts w:ascii="Calibri" w:eastAsia="Times New Roman" w:hAnsi="Calibri" w:cs="Calibri"/>
          <w:sz w:val="24"/>
          <w:szCs w:val="20"/>
          <w:lang w:val="en-GB"/>
        </w:rPr>
        <w:t xml:space="preserve"> th</w:t>
      </w:r>
      <w:r w:rsidR="00DB581B">
        <w:rPr>
          <w:rFonts w:ascii="Calibri" w:eastAsia="Times New Roman" w:hAnsi="Calibri" w:cs="Calibri"/>
          <w:sz w:val="24"/>
          <w:szCs w:val="20"/>
          <w:lang w:val="en-GB"/>
        </w:rPr>
        <w:t>at</w:t>
      </w:r>
      <w:r w:rsidR="004E617E">
        <w:rPr>
          <w:rFonts w:ascii="Calibri" w:eastAsia="Times New Roman" w:hAnsi="Calibri" w:cs="Calibri"/>
          <w:sz w:val="24"/>
          <w:szCs w:val="20"/>
          <w:lang w:val="en-GB"/>
        </w:rPr>
        <w:t xml:space="preserve"> invitation, despite being given an extension of tim</w:t>
      </w:r>
      <w:r w:rsidR="00A35AAE">
        <w:rPr>
          <w:rFonts w:ascii="Calibri" w:eastAsia="Times New Roman" w:hAnsi="Calibri" w:cs="Calibri"/>
          <w:sz w:val="24"/>
          <w:szCs w:val="20"/>
          <w:lang w:val="en-GB"/>
        </w:rPr>
        <w:t>e in which to do so.</w:t>
      </w:r>
    </w:p>
    <w:p w14:paraId="757C88D4" w14:textId="6BB8CD3E" w:rsidR="00285939" w:rsidRPr="00285939" w:rsidRDefault="00285939" w:rsidP="00285939">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sidRPr="00285939">
        <w:rPr>
          <w:rFonts w:ascii="Calibri" w:eastAsia="Times New Roman" w:hAnsi="Calibri" w:cs="Calibri"/>
          <w:sz w:val="24"/>
          <w:szCs w:val="20"/>
          <w:lang w:val="en-GB"/>
        </w:rPr>
        <w:t xml:space="preserve">All matters considered, the Tribunal is of the view that </w:t>
      </w:r>
      <w:r w:rsidR="00A35AAE">
        <w:rPr>
          <w:rFonts w:ascii="Calibri" w:eastAsia="Times New Roman" w:hAnsi="Calibri" w:cs="Calibri"/>
          <w:sz w:val="24"/>
          <w:szCs w:val="20"/>
          <w:lang w:val="en-GB"/>
        </w:rPr>
        <w:t>the practitioner should</w:t>
      </w:r>
      <w:r w:rsidRPr="00285939">
        <w:rPr>
          <w:rFonts w:ascii="Calibri" w:eastAsia="Times New Roman" w:hAnsi="Calibri" w:cs="Calibri"/>
          <w:sz w:val="24"/>
          <w:szCs w:val="20"/>
          <w:lang w:val="en-GB"/>
        </w:rPr>
        <w:t xml:space="preserve"> be ordered to pay a contribution towards the costs</w:t>
      </w:r>
      <w:r w:rsidR="00DB581B">
        <w:rPr>
          <w:rFonts w:ascii="Calibri" w:eastAsia="Times New Roman" w:hAnsi="Calibri" w:cs="Calibri"/>
          <w:sz w:val="24"/>
          <w:szCs w:val="20"/>
          <w:lang w:val="en-GB"/>
        </w:rPr>
        <w:t xml:space="preserve"> and expenses</w:t>
      </w:r>
      <w:r w:rsidRPr="00285939">
        <w:rPr>
          <w:rFonts w:ascii="Calibri" w:eastAsia="Times New Roman" w:hAnsi="Calibri" w:cs="Calibri"/>
          <w:sz w:val="24"/>
          <w:szCs w:val="20"/>
          <w:lang w:val="en-GB"/>
        </w:rPr>
        <w:t xml:space="preserve"> that have been incurred</w:t>
      </w:r>
      <w:r w:rsidR="00DB581B">
        <w:rPr>
          <w:rFonts w:ascii="Calibri" w:eastAsia="Times New Roman" w:hAnsi="Calibri" w:cs="Calibri"/>
          <w:sz w:val="24"/>
          <w:szCs w:val="20"/>
          <w:lang w:val="en-GB"/>
        </w:rPr>
        <w:t xml:space="preserve"> both</w:t>
      </w:r>
      <w:r w:rsidRPr="00285939">
        <w:rPr>
          <w:rFonts w:ascii="Calibri" w:eastAsia="Times New Roman" w:hAnsi="Calibri" w:cs="Calibri"/>
          <w:sz w:val="24"/>
          <w:szCs w:val="20"/>
          <w:lang w:val="en-GB"/>
        </w:rPr>
        <w:t xml:space="preserve"> by the PCC and the Tribunal. </w:t>
      </w:r>
      <w:r w:rsidR="00212CF4">
        <w:rPr>
          <w:rFonts w:ascii="Calibri" w:eastAsia="Times New Roman" w:hAnsi="Calibri" w:cs="Calibri"/>
          <w:sz w:val="24"/>
          <w:szCs w:val="20"/>
          <w:lang w:val="en-GB"/>
        </w:rPr>
        <w:t>The Tribunal</w:t>
      </w:r>
      <w:r w:rsidR="00A53F67">
        <w:rPr>
          <w:rFonts w:ascii="Calibri" w:eastAsia="Times New Roman" w:hAnsi="Calibri" w:cs="Calibri"/>
          <w:sz w:val="24"/>
          <w:szCs w:val="20"/>
          <w:lang w:val="en-GB"/>
        </w:rPr>
        <w:t xml:space="preserve"> considered</w:t>
      </w:r>
      <w:r w:rsidR="00212CF4">
        <w:rPr>
          <w:rFonts w:ascii="Calibri" w:eastAsia="Times New Roman" w:hAnsi="Calibri" w:cs="Calibri"/>
          <w:sz w:val="24"/>
          <w:szCs w:val="20"/>
          <w:lang w:val="en-GB"/>
        </w:rPr>
        <w:t xml:space="preserve"> that she should be ordered to pay </w:t>
      </w:r>
      <w:r w:rsidR="00D94F03">
        <w:rPr>
          <w:rFonts w:ascii="Calibri" w:eastAsia="Times New Roman" w:hAnsi="Calibri" w:cs="Calibri"/>
          <w:sz w:val="24"/>
          <w:szCs w:val="20"/>
          <w:lang w:val="en-GB"/>
        </w:rPr>
        <w:t>30</w:t>
      </w:r>
      <w:r w:rsidR="00212CF4">
        <w:rPr>
          <w:rFonts w:ascii="Calibri" w:eastAsia="Times New Roman" w:hAnsi="Calibri" w:cs="Calibri"/>
          <w:sz w:val="24"/>
          <w:szCs w:val="20"/>
          <w:lang w:val="en-GB"/>
        </w:rPr>
        <w:t>% of the PCC’s total reasonable costs</w:t>
      </w:r>
      <w:r w:rsidR="00A53F67">
        <w:rPr>
          <w:rFonts w:ascii="Calibri" w:eastAsia="Times New Roman" w:hAnsi="Calibri" w:cs="Calibri"/>
          <w:sz w:val="24"/>
          <w:szCs w:val="20"/>
          <w:lang w:val="en-GB"/>
        </w:rPr>
        <w:t xml:space="preserve"> and expenses</w:t>
      </w:r>
      <w:r w:rsidR="00212CF4">
        <w:rPr>
          <w:rFonts w:ascii="Calibri" w:eastAsia="Times New Roman" w:hAnsi="Calibri" w:cs="Calibri"/>
          <w:sz w:val="24"/>
          <w:szCs w:val="20"/>
          <w:lang w:val="en-GB"/>
        </w:rPr>
        <w:t xml:space="preserve"> and 30% of the Tribunal’s costs</w:t>
      </w:r>
      <w:r w:rsidR="00A53F67">
        <w:rPr>
          <w:rFonts w:ascii="Calibri" w:eastAsia="Times New Roman" w:hAnsi="Calibri" w:cs="Calibri"/>
          <w:sz w:val="24"/>
          <w:szCs w:val="20"/>
          <w:lang w:val="en-GB"/>
        </w:rPr>
        <w:t xml:space="preserve"> and expenses</w:t>
      </w:r>
      <w:r w:rsidR="00212CF4">
        <w:rPr>
          <w:rFonts w:ascii="Calibri" w:eastAsia="Times New Roman" w:hAnsi="Calibri" w:cs="Calibri"/>
          <w:sz w:val="24"/>
          <w:szCs w:val="20"/>
          <w:lang w:val="en-GB"/>
        </w:rPr>
        <w:t>. Accordingly</w:t>
      </w:r>
      <w:r w:rsidR="00A32764">
        <w:rPr>
          <w:rFonts w:ascii="Calibri" w:eastAsia="Times New Roman" w:hAnsi="Calibri" w:cs="Calibri"/>
          <w:sz w:val="24"/>
          <w:szCs w:val="20"/>
          <w:lang w:val="en-GB"/>
        </w:rPr>
        <w:t>,</w:t>
      </w:r>
      <w:r w:rsidR="00212CF4">
        <w:rPr>
          <w:rFonts w:ascii="Calibri" w:eastAsia="Times New Roman" w:hAnsi="Calibri" w:cs="Calibri"/>
          <w:sz w:val="24"/>
          <w:szCs w:val="20"/>
          <w:lang w:val="en-GB"/>
        </w:rPr>
        <w:t xml:space="preserve"> the Tribunal orders the practitioner to pay the sum of </w:t>
      </w:r>
      <w:r w:rsidR="00E64C6B">
        <w:rPr>
          <w:rFonts w:ascii="Calibri" w:eastAsia="Times New Roman" w:hAnsi="Calibri" w:cs="Calibri"/>
          <w:sz w:val="24"/>
          <w:szCs w:val="20"/>
          <w:lang w:val="en-GB"/>
        </w:rPr>
        <w:t>$</w:t>
      </w:r>
      <w:r w:rsidR="001C7C4C">
        <w:rPr>
          <w:rFonts w:ascii="Calibri" w:eastAsia="Times New Roman" w:hAnsi="Calibri" w:cs="Calibri"/>
          <w:sz w:val="24"/>
          <w:szCs w:val="20"/>
          <w:lang w:val="en-GB"/>
        </w:rPr>
        <w:t>828.00</w:t>
      </w:r>
      <w:r w:rsidR="00E64C6B">
        <w:rPr>
          <w:rFonts w:ascii="Calibri" w:eastAsia="Times New Roman" w:hAnsi="Calibri" w:cs="Calibri"/>
          <w:sz w:val="24"/>
          <w:szCs w:val="20"/>
          <w:lang w:val="en-GB"/>
        </w:rPr>
        <w:t xml:space="preserve"> towards the PCC’s costs and </w:t>
      </w:r>
      <w:r w:rsidR="00A32764">
        <w:rPr>
          <w:rFonts w:ascii="Calibri" w:eastAsia="Times New Roman" w:hAnsi="Calibri" w:cs="Calibri"/>
          <w:sz w:val="24"/>
          <w:szCs w:val="20"/>
          <w:lang w:val="en-GB"/>
        </w:rPr>
        <w:t>$</w:t>
      </w:r>
      <w:r w:rsidR="00A95A0C">
        <w:rPr>
          <w:rFonts w:ascii="Calibri" w:eastAsia="Times New Roman" w:hAnsi="Calibri" w:cs="Calibri"/>
          <w:sz w:val="24"/>
          <w:szCs w:val="20"/>
          <w:lang w:val="en-GB"/>
        </w:rPr>
        <w:t>1,96</w:t>
      </w:r>
      <w:r w:rsidR="00082455">
        <w:rPr>
          <w:rFonts w:ascii="Calibri" w:eastAsia="Times New Roman" w:hAnsi="Calibri" w:cs="Calibri"/>
          <w:sz w:val="24"/>
          <w:szCs w:val="20"/>
          <w:lang w:val="en-GB"/>
        </w:rPr>
        <w:t xml:space="preserve">9.00 </w:t>
      </w:r>
      <w:r w:rsidR="00541F23">
        <w:rPr>
          <w:rFonts w:ascii="Calibri" w:eastAsia="Times New Roman" w:hAnsi="Calibri" w:cs="Calibri"/>
          <w:sz w:val="24"/>
          <w:szCs w:val="20"/>
          <w:lang w:val="en-GB"/>
        </w:rPr>
        <w:t>towards the Tribunal’s costs</w:t>
      </w:r>
      <w:r w:rsidR="00A32764">
        <w:rPr>
          <w:rFonts w:ascii="Calibri" w:eastAsia="Times New Roman" w:hAnsi="Calibri" w:cs="Calibri"/>
          <w:sz w:val="24"/>
          <w:szCs w:val="20"/>
          <w:lang w:val="en-GB"/>
        </w:rPr>
        <w:t>. If the practitioner wishes to approach the Board to negotiate a payment arrangement</w:t>
      </w:r>
      <w:r w:rsidR="005C3E14">
        <w:rPr>
          <w:rFonts w:ascii="Calibri" w:eastAsia="Times New Roman" w:hAnsi="Calibri" w:cs="Calibri"/>
          <w:sz w:val="24"/>
          <w:szCs w:val="20"/>
          <w:lang w:val="en-GB"/>
        </w:rPr>
        <w:t xml:space="preserve"> then</w:t>
      </w:r>
      <w:r w:rsidR="00A32764">
        <w:rPr>
          <w:rFonts w:ascii="Calibri" w:eastAsia="Times New Roman" w:hAnsi="Calibri" w:cs="Calibri"/>
          <w:sz w:val="24"/>
          <w:szCs w:val="20"/>
          <w:lang w:val="en-GB"/>
        </w:rPr>
        <w:t xml:space="preserve"> she may do so</w:t>
      </w:r>
      <w:r w:rsidR="005C3E14">
        <w:rPr>
          <w:rFonts w:ascii="Calibri" w:eastAsia="Times New Roman" w:hAnsi="Calibri" w:cs="Calibri"/>
          <w:sz w:val="24"/>
          <w:szCs w:val="20"/>
          <w:lang w:val="en-GB"/>
        </w:rPr>
        <w:t>,</w:t>
      </w:r>
      <w:r w:rsidR="00A32764">
        <w:rPr>
          <w:rFonts w:ascii="Calibri" w:eastAsia="Times New Roman" w:hAnsi="Calibri" w:cs="Calibri"/>
          <w:sz w:val="24"/>
          <w:szCs w:val="20"/>
          <w:lang w:val="en-GB"/>
        </w:rPr>
        <w:t xml:space="preserve"> but that is not a matter for the Tribunal.</w:t>
      </w:r>
    </w:p>
    <w:p w14:paraId="49E5C436" w14:textId="77777777" w:rsidR="006F60C9" w:rsidRPr="006F60C9" w:rsidRDefault="006F60C9" w:rsidP="006F60C9">
      <w:pPr>
        <w:tabs>
          <w:tab w:val="left" w:pos="709"/>
        </w:tabs>
        <w:spacing w:after="0" w:line="360" w:lineRule="auto"/>
        <w:contextualSpacing/>
        <w:jc w:val="both"/>
        <w:rPr>
          <w:rFonts w:ascii="Calibri" w:eastAsia="Times New Roman" w:hAnsi="Calibri" w:cs="Calibri"/>
          <w:sz w:val="24"/>
          <w:szCs w:val="20"/>
          <w:lang w:val="en-GB"/>
        </w:rPr>
      </w:pPr>
    </w:p>
    <w:p w14:paraId="35AE4AB1" w14:textId="77777777" w:rsidR="006F60C9" w:rsidRDefault="006F60C9" w:rsidP="00285939">
      <w:pPr>
        <w:tabs>
          <w:tab w:val="left" w:pos="709"/>
        </w:tabs>
        <w:spacing w:after="0" w:line="360" w:lineRule="auto"/>
        <w:contextualSpacing/>
        <w:jc w:val="both"/>
        <w:rPr>
          <w:rFonts w:ascii="Calibri" w:eastAsia="Times New Roman" w:hAnsi="Calibri" w:cs="Calibri"/>
          <w:b/>
          <w:bCs/>
          <w:sz w:val="24"/>
          <w:szCs w:val="20"/>
          <w:lang w:val="en-GB"/>
        </w:rPr>
      </w:pPr>
    </w:p>
    <w:p w14:paraId="56CCEB43" w14:textId="77777777" w:rsidR="006F60C9" w:rsidRDefault="006F60C9" w:rsidP="00285939">
      <w:pPr>
        <w:tabs>
          <w:tab w:val="left" w:pos="709"/>
        </w:tabs>
        <w:spacing w:after="0" w:line="360" w:lineRule="auto"/>
        <w:contextualSpacing/>
        <w:jc w:val="both"/>
        <w:rPr>
          <w:rFonts w:ascii="Calibri" w:eastAsia="Times New Roman" w:hAnsi="Calibri" w:cs="Calibri"/>
          <w:b/>
          <w:bCs/>
          <w:sz w:val="24"/>
          <w:szCs w:val="20"/>
          <w:lang w:val="en-GB"/>
        </w:rPr>
      </w:pPr>
    </w:p>
    <w:p w14:paraId="1DB14C9C" w14:textId="77777777" w:rsidR="006F60C9" w:rsidRDefault="006F60C9" w:rsidP="00285939">
      <w:pPr>
        <w:tabs>
          <w:tab w:val="left" w:pos="709"/>
        </w:tabs>
        <w:spacing w:after="0" w:line="360" w:lineRule="auto"/>
        <w:contextualSpacing/>
        <w:jc w:val="both"/>
        <w:rPr>
          <w:rFonts w:ascii="Calibri" w:eastAsia="Times New Roman" w:hAnsi="Calibri" w:cs="Calibri"/>
          <w:b/>
          <w:bCs/>
          <w:sz w:val="24"/>
          <w:szCs w:val="20"/>
          <w:lang w:val="en-GB"/>
        </w:rPr>
      </w:pPr>
    </w:p>
    <w:p w14:paraId="3D705CB7" w14:textId="77777777" w:rsidR="006F60C9" w:rsidRDefault="006F60C9" w:rsidP="00285939">
      <w:pPr>
        <w:tabs>
          <w:tab w:val="left" w:pos="709"/>
        </w:tabs>
        <w:spacing w:after="0" w:line="360" w:lineRule="auto"/>
        <w:contextualSpacing/>
        <w:jc w:val="both"/>
        <w:rPr>
          <w:rFonts w:ascii="Calibri" w:eastAsia="Times New Roman" w:hAnsi="Calibri" w:cs="Calibri"/>
          <w:b/>
          <w:bCs/>
          <w:sz w:val="24"/>
          <w:szCs w:val="20"/>
          <w:lang w:val="en-GB"/>
        </w:rPr>
      </w:pPr>
    </w:p>
    <w:p w14:paraId="48BB8007" w14:textId="77777777" w:rsidR="006F60C9" w:rsidRDefault="006F60C9" w:rsidP="00285939">
      <w:pPr>
        <w:tabs>
          <w:tab w:val="left" w:pos="709"/>
        </w:tabs>
        <w:spacing w:after="0" w:line="360" w:lineRule="auto"/>
        <w:contextualSpacing/>
        <w:jc w:val="both"/>
        <w:rPr>
          <w:rFonts w:ascii="Calibri" w:eastAsia="Times New Roman" w:hAnsi="Calibri" w:cs="Calibri"/>
          <w:b/>
          <w:bCs/>
          <w:sz w:val="24"/>
          <w:szCs w:val="20"/>
          <w:lang w:val="en-GB"/>
        </w:rPr>
      </w:pPr>
    </w:p>
    <w:p w14:paraId="6D58F6A4" w14:textId="1AA1B578" w:rsidR="00285939" w:rsidRPr="00285939" w:rsidRDefault="00285939" w:rsidP="00285939">
      <w:pPr>
        <w:tabs>
          <w:tab w:val="left" w:pos="709"/>
        </w:tabs>
        <w:spacing w:after="0" w:line="360" w:lineRule="auto"/>
        <w:contextualSpacing/>
        <w:jc w:val="both"/>
        <w:rPr>
          <w:rFonts w:ascii="Calibri" w:eastAsia="Times New Roman" w:hAnsi="Calibri" w:cs="Calibri"/>
          <w:b/>
          <w:bCs/>
          <w:sz w:val="24"/>
          <w:szCs w:val="20"/>
          <w:lang w:val="en-GB"/>
        </w:rPr>
      </w:pPr>
      <w:r w:rsidRPr="00285939">
        <w:rPr>
          <w:rFonts w:ascii="Calibri" w:eastAsia="Times New Roman" w:hAnsi="Calibri" w:cs="Calibri"/>
          <w:b/>
          <w:bCs/>
          <w:sz w:val="24"/>
          <w:szCs w:val="20"/>
          <w:lang w:val="en-GB"/>
        </w:rPr>
        <w:t>Non-publication order</w:t>
      </w:r>
      <w:r w:rsidR="00987192">
        <w:rPr>
          <w:rFonts w:ascii="Calibri" w:eastAsia="Times New Roman" w:hAnsi="Calibri" w:cs="Calibri"/>
          <w:b/>
          <w:bCs/>
          <w:sz w:val="24"/>
          <w:szCs w:val="20"/>
          <w:lang w:val="en-GB"/>
        </w:rPr>
        <w:t>s</w:t>
      </w:r>
    </w:p>
    <w:p w14:paraId="5052E180" w14:textId="19DB5EA4" w:rsidR="00D65154" w:rsidRPr="00D65154" w:rsidRDefault="00BE72A6" w:rsidP="00D65154">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Pr>
          <w:rFonts w:ascii="Calibri" w:eastAsia="Times New Roman" w:hAnsi="Calibri" w:cs="Calibri"/>
          <w:sz w:val="24"/>
          <w:szCs w:val="20"/>
          <w:lang w:val="en-GB"/>
        </w:rPr>
        <w:t>There is a permanent suppression order in place in</w:t>
      </w:r>
      <w:r w:rsidR="000A1D5A">
        <w:rPr>
          <w:rFonts w:ascii="Calibri" w:eastAsia="Times New Roman" w:hAnsi="Calibri" w:cs="Calibri"/>
          <w:sz w:val="24"/>
          <w:szCs w:val="20"/>
          <w:lang w:val="en-GB"/>
        </w:rPr>
        <w:t xml:space="preserve"> the criminal proceedings in</w:t>
      </w:r>
      <w:r>
        <w:rPr>
          <w:rFonts w:ascii="Calibri" w:eastAsia="Times New Roman" w:hAnsi="Calibri" w:cs="Calibri"/>
          <w:sz w:val="24"/>
          <w:szCs w:val="20"/>
          <w:lang w:val="en-GB"/>
        </w:rPr>
        <w:t xml:space="preserve"> respect of the names </w:t>
      </w:r>
      <w:r w:rsidR="000A1D5A">
        <w:rPr>
          <w:rFonts w:ascii="Calibri" w:eastAsia="Times New Roman" w:hAnsi="Calibri" w:cs="Calibri"/>
          <w:sz w:val="24"/>
          <w:szCs w:val="20"/>
          <w:lang w:val="en-GB"/>
        </w:rPr>
        <w:t>of the two victims</w:t>
      </w:r>
      <w:r w:rsidR="0042372A">
        <w:rPr>
          <w:rFonts w:ascii="Calibri" w:eastAsia="Times New Roman" w:hAnsi="Calibri" w:cs="Calibri"/>
          <w:sz w:val="24"/>
          <w:szCs w:val="20"/>
          <w:lang w:val="en-GB"/>
        </w:rPr>
        <w:t xml:space="preserve"> </w:t>
      </w:r>
      <w:r w:rsidR="007860C5">
        <w:rPr>
          <w:rFonts w:ascii="Calibri" w:eastAsia="Times New Roman" w:hAnsi="Calibri" w:cs="Calibri"/>
          <w:sz w:val="24"/>
          <w:szCs w:val="20"/>
          <w:lang w:val="en-GB"/>
        </w:rPr>
        <w:t>pursuant to section 204 of the Criminal Procedure Act 2011</w:t>
      </w:r>
      <w:r w:rsidR="000A1D5A">
        <w:rPr>
          <w:rFonts w:ascii="Calibri" w:eastAsia="Times New Roman" w:hAnsi="Calibri" w:cs="Calibri"/>
          <w:sz w:val="24"/>
          <w:szCs w:val="20"/>
          <w:lang w:val="en-GB"/>
        </w:rPr>
        <w:t>.</w:t>
      </w:r>
      <w:r w:rsidR="00A6654B">
        <w:rPr>
          <w:rStyle w:val="FootnoteReference"/>
          <w:rFonts w:ascii="Calibri" w:eastAsia="Times New Roman" w:hAnsi="Calibri" w:cs="Calibri"/>
          <w:sz w:val="24"/>
          <w:szCs w:val="20"/>
          <w:lang w:val="en-GB"/>
        </w:rPr>
        <w:footnoteReference w:id="32"/>
      </w:r>
    </w:p>
    <w:p w14:paraId="08FAD95C" w14:textId="5812995B" w:rsidR="00285939" w:rsidRPr="00285939" w:rsidRDefault="00285939" w:rsidP="00285939">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sidRPr="00285939">
        <w:rPr>
          <w:rFonts w:ascii="Calibri" w:eastAsia="Times New Roman" w:hAnsi="Calibri" w:cs="Calibri"/>
          <w:sz w:val="24"/>
          <w:szCs w:val="20"/>
          <w:lang w:val="en-GB"/>
        </w:rPr>
        <w:t>The Tribunal is satisfied that</w:t>
      </w:r>
      <w:r w:rsidR="006568EE">
        <w:rPr>
          <w:rFonts w:ascii="Calibri" w:eastAsia="Times New Roman" w:hAnsi="Calibri" w:cs="Calibri"/>
          <w:sz w:val="24"/>
          <w:szCs w:val="20"/>
          <w:lang w:val="en-GB"/>
        </w:rPr>
        <w:t xml:space="preserve"> it</w:t>
      </w:r>
      <w:r w:rsidRPr="00285939">
        <w:rPr>
          <w:rFonts w:ascii="Calibri" w:eastAsia="Times New Roman" w:hAnsi="Calibri" w:cs="Calibri"/>
          <w:sz w:val="24"/>
          <w:szCs w:val="20"/>
          <w:lang w:val="en-GB"/>
        </w:rPr>
        <w:t xml:space="preserve"> is desirable to make</w:t>
      </w:r>
      <w:r w:rsidR="00D65154">
        <w:rPr>
          <w:rFonts w:ascii="Calibri" w:eastAsia="Times New Roman" w:hAnsi="Calibri" w:cs="Calibri"/>
          <w:sz w:val="24"/>
          <w:szCs w:val="20"/>
          <w:lang w:val="en-GB"/>
        </w:rPr>
        <w:t xml:space="preserve"> a</w:t>
      </w:r>
      <w:r w:rsidRPr="00285939">
        <w:rPr>
          <w:rFonts w:ascii="Calibri" w:eastAsia="Times New Roman" w:hAnsi="Calibri" w:cs="Calibri"/>
          <w:sz w:val="24"/>
          <w:szCs w:val="20"/>
          <w:lang w:val="en-GB"/>
        </w:rPr>
        <w:t xml:space="preserve"> permanent order </w:t>
      </w:r>
      <w:r w:rsidR="00D65154">
        <w:rPr>
          <w:rFonts w:ascii="Calibri" w:eastAsia="Times New Roman" w:hAnsi="Calibri" w:cs="Calibri"/>
          <w:sz w:val="24"/>
          <w:szCs w:val="20"/>
          <w:lang w:val="en-GB"/>
        </w:rPr>
        <w:t>in respect of the names</w:t>
      </w:r>
      <w:r w:rsidRPr="00285939">
        <w:rPr>
          <w:rFonts w:ascii="Calibri" w:eastAsia="Times New Roman" w:hAnsi="Calibri" w:cs="Calibri"/>
          <w:sz w:val="24"/>
          <w:szCs w:val="20"/>
          <w:lang w:val="en-GB"/>
        </w:rPr>
        <w:t>, address</w:t>
      </w:r>
      <w:r w:rsidR="00D65154">
        <w:rPr>
          <w:rFonts w:ascii="Calibri" w:eastAsia="Times New Roman" w:hAnsi="Calibri" w:cs="Calibri"/>
          <w:sz w:val="24"/>
          <w:szCs w:val="20"/>
          <w:lang w:val="en-GB"/>
        </w:rPr>
        <w:t xml:space="preserve">es, </w:t>
      </w:r>
      <w:r w:rsidR="00FB0DD3">
        <w:rPr>
          <w:rFonts w:ascii="Calibri" w:eastAsia="Times New Roman" w:hAnsi="Calibri" w:cs="Calibri"/>
          <w:sz w:val="24"/>
          <w:szCs w:val="20"/>
          <w:lang w:val="en-GB"/>
        </w:rPr>
        <w:t>and identifying particulars of the two victims</w:t>
      </w:r>
      <w:r w:rsidRPr="00285939">
        <w:rPr>
          <w:rFonts w:ascii="Calibri" w:eastAsia="Times New Roman" w:hAnsi="Calibri" w:cs="Calibri"/>
          <w:sz w:val="24"/>
          <w:szCs w:val="20"/>
          <w:lang w:val="en-GB"/>
        </w:rPr>
        <w:t xml:space="preserve">. Having regard to </w:t>
      </w:r>
      <w:r w:rsidR="00F02B4A">
        <w:rPr>
          <w:rFonts w:ascii="Calibri" w:eastAsia="Times New Roman" w:hAnsi="Calibri" w:cs="Calibri"/>
          <w:sz w:val="24"/>
          <w:szCs w:val="20"/>
          <w:lang w:val="en-GB"/>
        </w:rPr>
        <w:t>the</w:t>
      </w:r>
      <w:r w:rsidRPr="00285939">
        <w:rPr>
          <w:rFonts w:ascii="Calibri" w:eastAsia="Times New Roman" w:hAnsi="Calibri" w:cs="Calibri"/>
          <w:sz w:val="24"/>
          <w:szCs w:val="20"/>
          <w:lang w:val="en-GB"/>
        </w:rPr>
        <w:t xml:space="preserve"> privacy interests</w:t>
      </w:r>
      <w:r w:rsidR="00F02B4A">
        <w:rPr>
          <w:rFonts w:ascii="Calibri" w:eastAsia="Times New Roman" w:hAnsi="Calibri" w:cs="Calibri"/>
          <w:sz w:val="24"/>
          <w:szCs w:val="20"/>
          <w:lang w:val="en-GB"/>
        </w:rPr>
        <w:t xml:space="preserve"> of the victims</w:t>
      </w:r>
      <w:r w:rsidRPr="00285939">
        <w:rPr>
          <w:rFonts w:ascii="Calibri" w:eastAsia="Times New Roman" w:hAnsi="Calibri" w:cs="Calibri"/>
          <w:sz w:val="24"/>
          <w:szCs w:val="20"/>
          <w:lang w:val="en-GB"/>
        </w:rPr>
        <w:t xml:space="preserve"> there is no public interest in </w:t>
      </w:r>
      <w:r w:rsidR="00F02B4A">
        <w:rPr>
          <w:rFonts w:ascii="Calibri" w:eastAsia="Times New Roman" w:hAnsi="Calibri" w:cs="Calibri"/>
          <w:sz w:val="24"/>
          <w:szCs w:val="20"/>
          <w:lang w:val="en-GB"/>
        </w:rPr>
        <w:t xml:space="preserve">their </w:t>
      </w:r>
      <w:r w:rsidRPr="00285939">
        <w:rPr>
          <w:rFonts w:ascii="Calibri" w:eastAsia="Times New Roman" w:hAnsi="Calibri" w:cs="Calibri"/>
          <w:sz w:val="24"/>
          <w:szCs w:val="20"/>
          <w:lang w:val="en-GB"/>
        </w:rPr>
        <w:t>name</w:t>
      </w:r>
      <w:r w:rsidR="00F02B4A">
        <w:rPr>
          <w:rFonts w:ascii="Calibri" w:eastAsia="Times New Roman" w:hAnsi="Calibri" w:cs="Calibri"/>
          <w:sz w:val="24"/>
          <w:szCs w:val="20"/>
          <w:lang w:val="en-GB"/>
        </w:rPr>
        <w:t>s</w:t>
      </w:r>
      <w:r w:rsidRPr="00285939">
        <w:rPr>
          <w:rFonts w:ascii="Calibri" w:eastAsia="Times New Roman" w:hAnsi="Calibri" w:cs="Calibri"/>
          <w:sz w:val="24"/>
          <w:szCs w:val="20"/>
          <w:lang w:val="en-GB"/>
        </w:rPr>
        <w:t xml:space="preserve"> being published in connection with these proceedings. </w:t>
      </w:r>
      <w:r w:rsidR="002D275D">
        <w:rPr>
          <w:rFonts w:ascii="Calibri" w:eastAsia="Times New Roman" w:hAnsi="Calibri" w:cs="Calibri"/>
          <w:sz w:val="24"/>
          <w:szCs w:val="20"/>
          <w:lang w:val="en-GB"/>
        </w:rPr>
        <w:t>There is also the Court</w:t>
      </w:r>
      <w:r w:rsidR="00F31D1F">
        <w:rPr>
          <w:rFonts w:ascii="Calibri" w:eastAsia="Times New Roman" w:hAnsi="Calibri" w:cs="Calibri"/>
          <w:sz w:val="24"/>
          <w:szCs w:val="20"/>
          <w:lang w:val="en-GB"/>
        </w:rPr>
        <w:t>-ordered</w:t>
      </w:r>
      <w:r w:rsidR="002D275D">
        <w:rPr>
          <w:rFonts w:ascii="Calibri" w:eastAsia="Times New Roman" w:hAnsi="Calibri" w:cs="Calibri"/>
          <w:sz w:val="24"/>
          <w:szCs w:val="20"/>
          <w:lang w:val="en-GB"/>
        </w:rPr>
        <w:t xml:space="preserve"> name suppression</w:t>
      </w:r>
      <w:r w:rsidR="00F31D1F">
        <w:rPr>
          <w:rFonts w:ascii="Calibri" w:eastAsia="Times New Roman" w:hAnsi="Calibri" w:cs="Calibri"/>
          <w:sz w:val="24"/>
          <w:szCs w:val="20"/>
          <w:lang w:val="en-GB"/>
        </w:rPr>
        <w:t xml:space="preserve">. </w:t>
      </w:r>
      <w:r w:rsidRPr="00285939">
        <w:rPr>
          <w:rFonts w:ascii="Calibri" w:eastAsia="Times New Roman" w:hAnsi="Calibri" w:cs="Calibri"/>
          <w:sz w:val="24"/>
          <w:szCs w:val="20"/>
          <w:lang w:val="en-GB"/>
        </w:rPr>
        <w:t>Accordingly, there will be a permanent order to that effect pursuant to section 79(2)(d) of the SWR Act.</w:t>
      </w:r>
      <w:r w:rsidR="00042C46">
        <w:rPr>
          <w:rFonts w:ascii="Calibri" w:eastAsia="Times New Roman" w:hAnsi="Calibri" w:cs="Calibri"/>
          <w:sz w:val="24"/>
          <w:szCs w:val="20"/>
          <w:lang w:val="en-GB"/>
        </w:rPr>
        <w:t xml:space="preserve"> This order will not extend to the age of the victims, which may be published.</w:t>
      </w:r>
    </w:p>
    <w:p w14:paraId="67447CF4" w14:textId="25A3F6DE" w:rsidR="00987192" w:rsidRDefault="00610EAE" w:rsidP="00285939">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Pr>
          <w:rFonts w:ascii="Calibri" w:eastAsia="Times New Roman" w:hAnsi="Calibri" w:cs="Calibri"/>
          <w:sz w:val="24"/>
          <w:szCs w:val="20"/>
          <w:lang w:val="en-GB"/>
        </w:rPr>
        <w:t>The practitioner’s name, address and identifying particulars is also permanently suppressed</w:t>
      </w:r>
      <w:r w:rsidR="00532D32">
        <w:rPr>
          <w:rFonts w:ascii="Calibri" w:eastAsia="Times New Roman" w:hAnsi="Calibri" w:cs="Calibri"/>
          <w:sz w:val="24"/>
          <w:szCs w:val="20"/>
          <w:lang w:val="en-GB"/>
        </w:rPr>
        <w:t>,</w:t>
      </w:r>
      <w:r>
        <w:rPr>
          <w:rFonts w:ascii="Calibri" w:eastAsia="Times New Roman" w:hAnsi="Calibri" w:cs="Calibri"/>
          <w:sz w:val="24"/>
          <w:szCs w:val="20"/>
          <w:lang w:val="en-GB"/>
        </w:rPr>
        <w:t xml:space="preserve"> pursuant to section 200 of the Criminal Procedure Act 2011</w:t>
      </w:r>
      <w:r w:rsidR="00532D32">
        <w:rPr>
          <w:rStyle w:val="FootnoteReference"/>
          <w:rFonts w:ascii="Calibri" w:eastAsia="Times New Roman" w:hAnsi="Calibri" w:cs="Calibri"/>
          <w:sz w:val="24"/>
          <w:szCs w:val="20"/>
          <w:lang w:val="en-GB"/>
        </w:rPr>
        <w:footnoteReference w:id="33"/>
      </w:r>
      <w:r>
        <w:rPr>
          <w:rFonts w:ascii="Calibri" w:eastAsia="Times New Roman" w:hAnsi="Calibri" w:cs="Calibri"/>
          <w:sz w:val="24"/>
          <w:szCs w:val="20"/>
          <w:lang w:val="en-GB"/>
        </w:rPr>
        <w:t xml:space="preserve">. So as not to undermine the integrity of the Court order, the Tribunal </w:t>
      </w:r>
      <w:r w:rsidR="00115DFC">
        <w:rPr>
          <w:rFonts w:ascii="Calibri" w:eastAsia="Times New Roman" w:hAnsi="Calibri" w:cs="Calibri"/>
          <w:sz w:val="24"/>
          <w:szCs w:val="20"/>
          <w:lang w:val="en-GB"/>
        </w:rPr>
        <w:t>is satisfied it is desirable to make a permanent order suppressing those details pursuant to section 79(2)(d) of the Act</w:t>
      </w:r>
      <w:r w:rsidR="00A60D16">
        <w:rPr>
          <w:rFonts w:ascii="Calibri" w:eastAsia="Times New Roman" w:hAnsi="Calibri" w:cs="Calibri"/>
          <w:sz w:val="24"/>
          <w:szCs w:val="20"/>
          <w:lang w:val="en-GB"/>
        </w:rPr>
        <w:t>.</w:t>
      </w:r>
      <w:r w:rsidR="00B06820">
        <w:rPr>
          <w:rFonts w:ascii="Calibri" w:eastAsia="Times New Roman" w:hAnsi="Calibri" w:cs="Calibri"/>
          <w:sz w:val="24"/>
          <w:szCs w:val="20"/>
          <w:lang w:val="en-GB"/>
        </w:rPr>
        <w:t xml:space="preserve"> </w:t>
      </w:r>
      <w:r w:rsidR="00F22612">
        <w:rPr>
          <w:rFonts w:ascii="Calibri" w:eastAsia="Times New Roman" w:hAnsi="Calibri" w:cs="Calibri"/>
          <w:sz w:val="24"/>
          <w:szCs w:val="20"/>
          <w:lang w:val="en-GB"/>
        </w:rPr>
        <w:t xml:space="preserve">This order will extend to </w:t>
      </w:r>
      <w:r w:rsidR="00206A80">
        <w:rPr>
          <w:rFonts w:ascii="Calibri" w:eastAsia="Times New Roman" w:hAnsi="Calibri" w:cs="Calibri"/>
          <w:sz w:val="24"/>
          <w:szCs w:val="20"/>
          <w:lang w:val="en-GB"/>
        </w:rPr>
        <w:t xml:space="preserve">the location of the Oranga Tamariki site where the practitioner worked at the time of the offending </w:t>
      </w:r>
      <w:r w:rsidR="004B4560">
        <w:rPr>
          <w:rFonts w:ascii="Calibri" w:eastAsia="Times New Roman" w:hAnsi="Calibri" w:cs="Calibri"/>
          <w:sz w:val="24"/>
          <w:szCs w:val="20"/>
          <w:lang w:val="en-GB"/>
        </w:rPr>
        <w:t>[ ].</w:t>
      </w:r>
    </w:p>
    <w:p w14:paraId="5C92150B" w14:textId="77777777" w:rsidR="006568EE" w:rsidRDefault="006568EE" w:rsidP="00285939">
      <w:pPr>
        <w:tabs>
          <w:tab w:val="left" w:pos="709"/>
        </w:tabs>
        <w:spacing w:after="0" w:line="360" w:lineRule="auto"/>
        <w:contextualSpacing/>
        <w:jc w:val="both"/>
        <w:rPr>
          <w:rFonts w:ascii="Calibri" w:eastAsia="Times New Roman" w:hAnsi="Calibri" w:cs="Calibri"/>
          <w:b/>
          <w:bCs/>
          <w:sz w:val="24"/>
          <w:szCs w:val="20"/>
          <w:lang w:val="en-GB"/>
        </w:rPr>
      </w:pPr>
    </w:p>
    <w:p w14:paraId="72E87C4B" w14:textId="30F94E7A" w:rsidR="00285939" w:rsidRPr="00285939" w:rsidRDefault="00285939" w:rsidP="00285939">
      <w:pPr>
        <w:tabs>
          <w:tab w:val="left" w:pos="709"/>
        </w:tabs>
        <w:spacing w:after="0" w:line="360" w:lineRule="auto"/>
        <w:contextualSpacing/>
        <w:jc w:val="both"/>
        <w:rPr>
          <w:rFonts w:ascii="Calibri" w:eastAsia="Times New Roman" w:hAnsi="Calibri" w:cs="Calibri"/>
          <w:b/>
          <w:bCs/>
          <w:sz w:val="24"/>
          <w:szCs w:val="20"/>
          <w:lang w:val="en-GB"/>
        </w:rPr>
      </w:pPr>
      <w:r w:rsidRPr="00285939">
        <w:rPr>
          <w:rFonts w:ascii="Calibri" w:eastAsia="Times New Roman" w:hAnsi="Calibri" w:cs="Calibri"/>
          <w:b/>
          <w:bCs/>
          <w:sz w:val="24"/>
          <w:szCs w:val="20"/>
          <w:lang w:val="en-GB"/>
        </w:rPr>
        <w:t>Result and Orders</w:t>
      </w:r>
    </w:p>
    <w:p w14:paraId="5BF538E3" w14:textId="7A3271A2" w:rsidR="00285939" w:rsidRPr="00285939" w:rsidRDefault="00285939" w:rsidP="00285939">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sidRPr="00285939">
        <w:rPr>
          <w:rFonts w:ascii="Calibri" w:eastAsia="Times New Roman" w:hAnsi="Calibri" w:cs="Calibri"/>
          <w:sz w:val="24"/>
          <w:szCs w:val="20"/>
          <w:lang w:val="en-GB"/>
        </w:rPr>
        <w:t xml:space="preserve">The Charge against </w:t>
      </w:r>
      <w:r w:rsidR="00115DFC">
        <w:rPr>
          <w:rFonts w:ascii="Calibri" w:eastAsia="Times New Roman" w:hAnsi="Calibri" w:cs="Calibri"/>
          <w:sz w:val="24"/>
          <w:szCs w:val="20"/>
          <w:lang w:val="en-GB"/>
        </w:rPr>
        <w:t xml:space="preserve">the practitioner </w:t>
      </w:r>
      <w:r w:rsidRPr="00285939">
        <w:rPr>
          <w:rFonts w:ascii="Calibri" w:eastAsia="Times New Roman" w:hAnsi="Calibri" w:cs="Calibri"/>
          <w:sz w:val="24"/>
          <w:szCs w:val="20"/>
          <w:lang w:val="en-GB"/>
        </w:rPr>
        <w:t>is made out under section 82(1)(c)</w:t>
      </w:r>
      <w:r w:rsidR="00115DFC">
        <w:rPr>
          <w:rFonts w:ascii="Calibri" w:eastAsia="Times New Roman" w:hAnsi="Calibri" w:cs="Calibri"/>
          <w:sz w:val="24"/>
          <w:szCs w:val="20"/>
          <w:lang w:val="en-GB"/>
        </w:rPr>
        <w:t xml:space="preserve"> and section 82(1)(a)</w:t>
      </w:r>
      <w:r w:rsidR="004054C2">
        <w:rPr>
          <w:rFonts w:ascii="Calibri" w:eastAsia="Times New Roman" w:hAnsi="Calibri" w:cs="Calibri"/>
          <w:sz w:val="24"/>
          <w:szCs w:val="20"/>
          <w:lang w:val="en-GB"/>
        </w:rPr>
        <w:t xml:space="preserve"> of the SWR Act</w:t>
      </w:r>
      <w:r w:rsidRPr="00285939">
        <w:rPr>
          <w:rFonts w:ascii="Calibri" w:eastAsia="Times New Roman" w:hAnsi="Calibri" w:cs="Calibri"/>
          <w:sz w:val="24"/>
          <w:szCs w:val="20"/>
          <w:lang w:val="en-GB"/>
        </w:rPr>
        <w:t>.</w:t>
      </w:r>
    </w:p>
    <w:p w14:paraId="69944F2E" w14:textId="7D90AE0A" w:rsidR="00285939" w:rsidRPr="00285939" w:rsidRDefault="004054C2" w:rsidP="00285939">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Pr>
          <w:rFonts w:ascii="Calibri" w:eastAsia="Times New Roman" w:hAnsi="Calibri" w:cs="Calibri"/>
          <w:sz w:val="24"/>
          <w:szCs w:val="20"/>
          <w:lang w:val="en-GB"/>
        </w:rPr>
        <w:t>The practitioner’s</w:t>
      </w:r>
      <w:r w:rsidR="00285939" w:rsidRPr="00285939">
        <w:rPr>
          <w:rFonts w:ascii="Calibri" w:eastAsia="Times New Roman" w:hAnsi="Calibri" w:cs="Calibri"/>
          <w:sz w:val="24"/>
          <w:szCs w:val="20"/>
          <w:lang w:val="en-GB"/>
        </w:rPr>
        <w:t xml:space="preserve"> registration as a social worker is cancelled (section 83(1)(a)(</w:t>
      </w:r>
      <w:proofErr w:type="spellStart"/>
      <w:r w:rsidR="00285939" w:rsidRPr="00285939">
        <w:rPr>
          <w:rFonts w:ascii="Calibri" w:eastAsia="Times New Roman" w:hAnsi="Calibri" w:cs="Calibri"/>
          <w:sz w:val="24"/>
          <w:szCs w:val="20"/>
          <w:lang w:val="en-GB"/>
        </w:rPr>
        <w:t>i</w:t>
      </w:r>
      <w:proofErr w:type="spellEnd"/>
      <w:r w:rsidR="00285939" w:rsidRPr="00285939">
        <w:rPr>
          <w:rFonts w:ascii="Calibri" w:eastAsia="Times New Roman" w:hAnsi="Calibri" w:cs="Calibri"/>
          <w:sz w:val="24"/>
          <w:szCs w:val="20"/>
          <w:lang w:val="en-GB"/>
        </w:rPr>
        <w:t>)).</w:t>
      </w:r>
    </w:p>
    <w:p w14:paraId="79AE7512" w14:textId="14DF8BF4" w:rsidR="00285939" w:rsidRDefault="004054C2" w:rsidP="00285939">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Pr>
          <w:rFonts w:ascii="Calibri" w:eastAsia="Times New Roman" w:hAnsi="Calibri" w:cs="Calibri"/>
          <w:sz w:val="24"/>
          <w:szCs w:val="20"/>
          <w:lang w:val="en-GB"/>
        </w:rPr>
        <w:t xml:space="preserve">The practitioner </w:t>
      </w:r>
      <w:r w:rsidR="00285939" w:rsidRPr="00285939">
        <w:rPr>
          <w:rFonts w:ascii="Calibri" w:eastAsia="Times New Roman" w:hAnsi="Calibri" w:cs="Calibri"/>
          <w:sz w:val="24"/>
          <w:szCs w:val="20"/>
          <w:lang w:val="en-GB"/>
        </w:rPr>
        <w:t>is censured (section 83(1)(b)</w:t>
      </w:r>
      <w:r>
        <w:rPr>
          <w:rFonts w:ascii="Calibri" w:eastAsia="Times New Roman" w:hAnsi="Calibri" w:cs="Calibri"/>
          <w:sz w:val="24"/>
          <w:szCs w:val="20"/>
          <w:lang w:val="en-GB"/>
        </w:rPr>
        <w:t>)</w:t>
      </w:r>
      <w:r w:rsidR="00285939" w:rsidRPr="00285939">
        <w:rPr>
          <w:rFonts w:ascii="Calibri" w:eastAsia="Times New Roman" w:hAnsi="Calibri" w:cs="Calibri"/>
          <w:sz w:val="24"/>
          <w:szCs w:val="20"/>
          <w:lang w:val="en-GB"/>
        </w:rPr>
        <w:t>.</w:t>
      </w:r>
    </w:p>
    <w:p w14:paraId="5F08D8C5" w14:textId="1C576747" w:rsidR="004638FD" w:rsidRDefault="004638FD" w:rsidP="00285939">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Pr>
          <w:rFonts w:ascii="Calibri" w:eastAsia="Times New Roman" w:hAnsi="Calibri" w:cs="Calibri"/>
          <w:sz w:val="24"/>
          <w:szCs w:val="20"/>
          <w:lang w:val="en-GB"/>
        </w:rPr>
        <w:t>The practitioner is to pay the sum of $</w:t>
      </w:r>
      <w:r w:rsidR="001C7C4C">
        <w:rPr>
          <w:rFonts w:ascii="Calibri" w:eastAsia="Times New Roman" w:hAnsi="Calibri" w:cs="Calibri"/>
          <w:sz w:val="24"/>
          <w:szCs w:val="20"/>
          <w:lang w:val="en-GB"/>
        </w:rPr>
        <w:t>828.00</w:t>
      </w:r>
      <w:r>
        <w:rPr>
          <w:rFonts w:ascii="Calibri" w:eastAsia="Times New Roman" w:hAnsi="Calibri" w:cs="Calibri"/>
          <w:sz w:val="24"/>
          <w:szCs w:val="20"/>
          <w:lang w:val="en-GB"/>
        </w:rPr>
        <w:t xml:space="preserve"> towards the costs </w:t>
      </w:r>
      <w:r w:rsidR="00987192">
        <w:rPr>
          <w:rFonts w:ascii="Calibri" w:eastAsia="Times New Roman" w:hAnsi="Calibri" w:cs="Calibri"/>
          <w:sz w:val="24"/>
          <w:szCs w:val="20"/>
          <w:lang w:val="en-GB"/>
        </w:rPr>
        <w:t xml:space="preserve">and expenses </w:t>
      </w:r>
      <w:r>
        <w:rPr>
          <w:rFonts w:ascii="Calibri" w:eastAsia="Times New Roman" w:hAnsi="Calibri" w:cs="Calibri"/>
          <w:sz w:val="24"/>
          <w:szCs w:val="20"/>
          <w:lang w:val="en-GB"/>
        </w:rPr>
        <w:t>of the PCC (section 83</w:t>
      </w:r>
      <w:r w:rsidR="00A63404">
        <w:rPr>
          <w:rFonts w:ascii="Calibri" w:eastAsia="Times New Roman" w:hAnsi="Calibri" w:cs="Calibri"/>
          <w:sz w:val="24"/>
          <w:szCs w:val="20"/>
          <w:lang w:val="en-GB"/>
        </w:rPr>
        <w:t>(1)(e)(ii)</w:t>
      </w:r>
      <w:r w:rsidR="00A3090C">
        <w:rPr>
          <w:rFonts w:ascii="Calibri" w:eastAsia="Times New Roman" w:hAnsi="Calibri" w:cs="Calibri"/>
          <w:sz w:val="24"/>
          <w:szCs w:val="20"/>
          <w:lang w:val="en-GB"/>
        </w:rPr>
        <w:t xml:space="preserve"> and (iii)</w:t>
      </w:r>
      <w:r>
        <w:rPr>
          <w:rFonts w:ascii="Calibri" w:eastAsia="Times New Roman" w:hAnsi="Calibri" w:cs="Calibri"/>
          <w:sz w:val="24"/>
          <w:szCs w:val="20"/>
          <w:lang w:val="en-GB"/>
        </w:rPr>
        <w:t>)</w:t>
      </w:r>
      <w:r w:rsidR="0026341D">
        <w:rPr>
          <w:rFonts w:ascii="Calibri" w:eastAsia="Times New Roman" w:hAnsi="Calibri" w:cs="Calibri"/>
          <w:sz w:val="24"/>
          <w:szCs w:val="20"/>
          <w:lang w:val="en-GB"/>
        </w:rPr>
        <w:t>.</w:t>
      </w:r>
    </w:p>
    <w:p w14:paraId="205A42F7" w14:textId="73BF449B" w:rsidR="004638FD" w:rsidRPr="00285939" w:rsidRDefault="004638FD" w:rsidP="00285939">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Pr>
          <w:rFonts w:ascii="Calibri" w:eastAsia="Times New Roman" w:hAnsi="Calibri" w:cs="Calibri"/>
          <w:sz w:val="24"/>
          <w:szCs w:val="20"/>
          <w:lang w:val="en-GB"/>
        </w:rPr>
        <w:t>The practitioner is to pay the sum of $</w:t>
      </w:r>
      <w:r w:rsidR="00082455">
        <w:rPr>
          <w:rFonts w:ascii="Calibri" w:eastAsia="Times New Roman" w:hAnsi="Calibri" w:cs="Calibri"/>
          <w:sz w:val="24"/>
          <w:szCs w:val="20"/>
          <w:lang w:val="en-GB"/>
        </w:rPr>
        <w:t>1,969.00</w:t>
      </w:r>
      <w:r>
        <w:rPr>
          <w:rFonts w:ascii="Calibri" w:eastAsia="Times New Roman" w:hAnsi="Calibri" w:cs="Calibri"/>
          <w:sz w:val="24"/>
          <w:szCs w:val="20"/>
          <w:lang w:val="en-GB"/>
        </w:rPr>
        <w:t xml:space="preserve"> toward the Tribunal’s costs</w:t>
      </w:r>
      <w:r w:rsidR="00987192">
        <w:rPr>
          <w:rFonts w:ascii="Calibri" w:eastAsia="Times New Roman" w:hAnsi="Calibri" w:cs="Calibri"/>
          <w:sz w:val="24"/>
          <w:szCs w:val="20"/>
          <w:lang w:val="en-GB"/>
        </w:rPr>
        <w:t xml:space="preserve"> and expenses (section</w:t>
      </w:r>
      <w:r w:rsidR="00A3090C">
        <w:rPr>
          <w:rFonts w:ascii="Calibri" w:eastAsia="Times New Roman" w:hAnsi="Calibri" w:cs="Calibri"/>
          <w:sz w:val="24"/>
          <w:szCs w:val="20"/>
          <w:lang w:val="en-GB"/>
        </w:rPr>
        <w:t xml:space="preserve"> 83(1)(e)(i</w:t>
      </w:r>
      <w:r w:rsidR="009A3E14">
        <w:rPr>
          <w:rFonts w:ascii="Calibri" w:eastAsia="Times New Roman" w:hAnsi="Calibri" w:cs="Calibri"/>
          <w:sz w:val="24"/>
          <w:szCs w:val="20"/>
          <w:lang w:val="en-GB"/>
        </w:rPr>
        <w:t>v</w:t>
      </w:r>
      <w:r w:rsidR="00A3090C">
        <w:rPr>
          <w:rFonts w:ascii="Calibri" w:eastAsia="Times New Roman" w:hAnsi="Calibri" w:cs="Calibri"/>
          <w:sz w:val="24"/>
          <w:szCs w:val="20"/>
          <w:lang w:val="en-GB"/>
        </w:rPr>
        <w:t>))</w:t>
      </w:r>
      <w:r>
        <w:rPr>
          <w:rFonts w:ascii="Calibri" w:eastAsia="Times New Roman" w:hAnsi="Calibri" w:cs="Calibri"/>
          <w:sz w:val="24"/>
          <w:szCs w:val="20"/>
          <w:lang w:val="en-GB"/>
        </w:rPr>
        <w:t>.</w:t>
      </w:r>
    </w:p>
    <w:p w14:paraId="34CE19D1" w14:textId="246DEB02" w:rsidR="00285939" w:rsidRDefault="00285939" w:rsidP="00285939">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sidRPr="00285939">
        <w:rPr>
          <w:rFonts w:ascii="Calibri" w:eastAsia="Times New Roman" w:hAnsi="Calibri" w:cs="Calibri"/>
          <w:sz w:val="24"/>
          <w:szCs w:val="20"/>
          <w:lang w:val="en-GB"/>
        </w:rPr>
        <w:lastRenderedPageBreak/>
        <w:t>There is to be a</w:t>
      </w:r>
      <w:r w:rsidR="004D5CAB">
        <w:rPr>
          <w:rFonts w:ascii="Calibri" w:eastAsia="Times New Roman" w:hAnsi="Calibri" w:cs="Calibri"/>
          <w:sz w:val="24"/>
          <w:szCs w:val="20"/>
          <w:lang w:val="en-GB"/>
        </w:rPr>
        <w:t xml:space="preserve"> permanent</w:t>
      </w:r>
      <w:r w:rsidRPr="00285939">
        <w:rPr>
          <w:rFonts w:ascii="Calibri" w:eastAsia="Times New Roman" w:hAnsi="Calibri" w:cs="Calibri"/>
          <w:sz w:val="24"/>
          <w:szCs w:val="20"/>
          <w:lang w:val="en-GB"/>
        </w:rPr>
        <w:t xml:space="preserve"> orde</w:t>
      </w:r>
      <w:r w:rsidR="004638FD">
        <w:rPr>
          <w:rFonts w:ascii="Calibri" w:eastAsia="Times New Roman" w:hAnsi="Calibri" w:cs="Calibri"/>
          <w:sz w:val="24"/>
          <w:szCs w:val="20"/>
          <w:lang w:val="en-GB"/>
        </w:rPr>
        <w:t xml:space="preserve">r for the </w:t>
      </w:r>
      <w:r w:rsidRPr="00285939">
        <w:rPr>
          <w:rFonts w:ascii="Calibri" w:eastAsia="Times New Roman" w:hAnsi="Calibri" w:cs="Calibri"/>
          <w:sz w:val="24"/>
          <w:szCs w:val="20"/>
          <w:lang w:val="en-GB"/>
        </w:rPr>
        <w:t>non-publication of the name</w:t>
      </w:r>
      <w:r w:rsidR="004054C2">
        <w:rPr>
          <w:rFonts w:ascii="Calibri" w:eastAsia="Times New Roman" w:hAnsi="Calibri" w:cs="Calibri"/>
          <w:sz w:val="24"/>
          <w:szCs w:val="20"/>
          <w:lang w:val="en-GB"/>
        </w:rPr>
        <w:t>s</w:t>
      </w:r>
      <w:r w:rsidRPr="00285939">
        <w:rPr>
          <w:rFonts w:ascii="Calibri" w:eastAsia="Times New Roman" w:hAnsi="Calibri" w:cs="Calibri"/>
          <w:sz w:val="24"/>
          <w:szCs w:val="20"/>
          <w:lang w:val="en-GB"/>
        </w:rPr>
        <w:t>, address</w:t>
      </w:r>
      <w:r w:rsidR="004054C2">
        <w:rPr>
          <w:rFonts w:ascii="Calibri" w:eastAsia="Times New Roman" w:hAnsi="Calibri" w:cs="Calibri"/>
          <w:sz w:val="24"/>
          <w:szCs w:val="20"/>
          <w:lang w:val="en-GB"/>
        </w:rPr>
        <w:t>e</w:t>
      </w:r>
      <w:r w:rsidR="004D5CAB">
        <w:rPr>
          <w:rFonts w:ascii="Calibri" w:eastAsia="Times New Roman" w:hAnsi="Calibri" w:cs="Calibri"/>
          <w:sz w:val="24"/>
          <w:szCs w:val="20"/>
          <w:lang w:val="en-GB"/>
        </w:rPr>
        <w:t>s</w:t>
      </w:r>
      <w:r w:rsidRPr="00285939">
        <w:rPr>
          <w:rFonts w:ascii="Calibri" w:eastAsia="Times New Roman" w:hAnsi="Calibri" w:cs="Calibri"/>
          <w:sz w:val="24"/>
          <w:szCs w:val="20"/>
          <w:lang w:val="en-GB"/>
        </w:rPr>
        <w:t xml:space="preserve"> and</w:t>
      </w:r>
      <w:r w:rsidR="004D5CAB">
        <w:rPr>
          <w:rFonts w:ascii="Calibri" w:eastAsia="Times New Roman" w:hAnsi="Calibri" w:cs="Calibri"/>
          <w:sz w:val="24"/>
          <w:szCs w:val="20"/>
          <w:lang w:val="en-GB"/>
        </w:rPr>
        <w:t xml:space="preserve"> identifying particulars</w:t>
      </w:r>
      <w:r w:rsidR="00FD3B52">
        <w:rPr>
          <w:rFonts w:ascii="Calibri" w:eastAsia="Times New Roman" w:hAnsi="Calibri" w:cs="Calibri"/>
          <w:sz w:val="24"/>
          <w:szCs w:val="20"/>
          <w:lang w:val="en-GB"/>
        </w:rPr>
        <w:t xml:space="preserve"> (other than age at the time of the offending)</w:t>
      </w:r>
      <w:r w:rsidR="004D5CAB">
        <w:rPr>
          <w:rFonts w:ascii="Calibri" w:eastAsia="Times New Roman" w:hAnsi="Calibri" w:cs="Calibri"/>
          <w:sz w:val="24"/>
          <w:szCs w:val="20"/>
          <w:lang w:val="en-GB"/>
        </w:rPr>
        <w:t xml:space="preserve"> of</w:t>
      </w:r>
      <w:r w:rsidRPr="00285939">
        <w:rPr>
          <w:rFonts w:ascii="Calibri" w:eastAsia="Times New Roman" w:hAnsi="Calibri" w:cs="Calibri"/>
          <w:sz w:val="24"/>
          <w:szCs w:val="20"/>
          <w:lang w:val="en-GB"/>
        </w:rPr>
        <w:t xml:space="preserve"> </w:t>
      </w:r>
      <w:r w:rsidR="004D5CAB">
        <w:rPr>
          <w:rFonts w:ascii="Calibri" w:eastAsia="Times New Roman" w:hAnsi="Calibri" w:cs="Calibri"/>
          <w:sz w:val="24"/>
          <w:szCs w:val="20"/>
          <w:lang w:val="en-GB"/>
        </w:rPr>
        <w:t>the practitioner’s</w:t>
      </w:r>
      <w:r w:rsidRPr="00285939">
        <w:rPr>
          <w:rFonts w:ascii="Calibri" w:eastAsia="Times New Roman" w:hAnsi="Calibri" w:cs="Calibri"/>
          <w:sz w:val="24"/>
          <w:szCs w:val="20"/>
          <w:lang w:val="en-GB"/>
        </w:rPr>
        <w:t xml:space="preserve"> victim</w:t>
      </w:r>
      <w:r w:rsidR="004D5CAB">
        <w:rPr>
          <w:rFonts w:ascii="Calibri" w:eastAsia="Times New Roman" w:hAnsi="Calibri" w:cs="Calibri"/>
          <w:sz w:val="24"/>
          <w:szCs w:val="20"/>
          <w:lang w:val="en-GB"/>
        </w:rPr>
        <w:t>s</w:t>
      </w:r>
      <w:r w:rsidRPr="00285939">
        <w:rPr>
          <w:rFonts w:ascii="Calibri" w:eastAsia="Times New Roman" w:hAnsi="Calibri" w:cs="Calibri"/>
          <w:sz w:val="24"/>
          <w:szCs w:val="20"/>
          <w:lang w:val="en-GB"/>
        </w:rPr>
        <w:t xml:space="preserve"> (section 79((2) (d))</w:t>
      </w:r>
      <w:r w:rsidR="00FD3B52">
        <w:rPr>
          <w:rFonts w:ascii="Calibri" w:eastAsia="Times New Roman" w:hAnsi="Calibri" w:cs="Calibri"/>
          <w:sz w:val="24"/>
          <w:szCs w:val="20"/>
          <w:lang w:val="en-GB"/>
        </w:rPr>
        <w:t>.</w:t>
      </w:r>
    </w:p>
    <w:p w14:paraId="438D51C1" w14:textId="1F62DBDE" w:rsidR="004D5CAB" w:rsidRPr="00285939" w:rsidRDefault="004D5CAB" w:rsidP="00285939">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Pr>
          <w:rFonts w:ascii="Calibri" w:eastAsia="Times New Roman" w:hAnsi="Calibri" w:cs="Calibri"/>
          <w:sz w:val="24"/>
          <w:szCs w:val="20"/>
          <w:lang w:val="en-GB"/>
        </w:rPr>
        <w:t>There is to be an o</w:t>
      </w:r>
      <w:r w:rsidR="004638FD">
        <w:rPr>
          <w:rFonts w:ascii="Calibri" w:eastAsia="Times New Roman" w:hAnsi="Calibri" w:cs="Calibri"/>
          <w:sz w:val="24"/>
          <w:szCs w:val="20"/>
          <w:lang w:val="en-GB"/>
        </w:rPr>
        <w:t>rder permanently suppressing from publication the name, address and identifying particulars of the practitioner (section 79(2)(d)</w:t>
      </w:r>
      <w:r w:rsidR="002B6AC3">
        <w:rPr>
          <w:rFonts w:ascii="Calibri" w:eastAsia="Times New Roman" w:hAnsi="Calibri" w:cs="Calibri"/>
          <w:sz w:val="24"/>
          <w:szCs w:val="20"/>
          <w:lang w:val="en-GB"/>
        </w:rPr>
        <w:t>).</w:t>
      </w:r>
      <w:r w:rsidR="00FD3B52">
        <w:rPr>
          <w:rFonts w:ascii="Calibri" w:eastAsia="Times New Roman" w:hAnsi="Calibri" w:cs="Calibri"/>
          <w:sz w:val="24"/>
          <w:szCs w:val="20"/>
          <w:lang w:val="en-GB"/>
        </w:rPr>
        <w:t xml:space="preserve"> Identifying particulars to include the location of the Oranga Tamariki site where the practitioner worked at the time of the offending.</w:t>
      </w:r>
    </w:p>
    <w:p w14:paraId="61C13E84" w14:textId="77777777" w:rsidR="00285939" w:rsidRPr="00285939" w:rsidRDefault="00285939" w:rsidP="00285939">
      <w:pPr>
        <w:numPr>
          <w:ilvl w:val="0"/>
          <w:numId w:val="1"/>
        </w:numPr>
        <w:tabs>
          <w:tab w:val="left" w:pos="709"/>
        </w:tabs>
        <w:spacing w:after="0" w:line="360" w:lineRule="auto"/>
        <w:ind w:left="567" w:hanging="567"/>
        <w:contextualSpacing/>
        <w:jc w:val="both"/>
        <w:rPr>
          <w:rFonts w:ascii="Calibri" w:eastAsia="Times New Roman" w:hAnsi="Calibri" w:cs="Calibri"/>
          <w:sz w:val="24"/>
          <w:szCs w:val="20"/>
          <w:lang w:val="en-GB"/>
        </w:rPr>
      </w:pPr>
      <w:r w:rsidRPr="00285939">
        <w:rPr>
          <w:rFonts w:ascii="Calibri" w:eastAsia="Times New Roman" w:hAnsi="Calibri" w:cs="Calibri"/>
          <w:sz w:val="24"/>
          <w:szCs w:val="20"/>
          <w:lang w:val="en-GB"/>
        </w:rPr>
        <w:t>The Tribunal directs the Hearing Officer to request the Board Registrar to publish this decision on the Board’s website and to publish a summary of the Tribunal’s decision in its professional publication to members of the social work profession.</w:t>
      </w:r>
    </w:p>
    <w:p w14:paraId="43CFCDCB" w14:textId="77777777" w:rsidR="00285939" w:rsidRPr="00285939" w:rsidRDefault="00285939" w:rsidP="00285939">
      <w:pPr>
        <w:tabs>
          <w:tab w:val="left" w:pos="884"/>
          <w:tab w:val="left" w:pos="1418"/>
          <w:tab w:val="left" w:pos="2041"/>
          <w:tab w:val="left" w:pos="2551"/>
          <w:tab w:val="left" w:pos="3662"/>
          <w:tab w:val="left" w:pos="6213"/>
        </w:tabs>
        <w:spacing w:after="0" w:line="360" w:lineRule="auto"/>
        <w:jc w:val="both"/>
        <w:rPr>
          <w:rFonts w:ascii="Calibri" w:eastAsia="Times New Roman" w:hAnsi="Calibri" w:cs="Calibri"/>
          <w:sz w:val="24"/>
          <w:szCs w:val="20"/>
          <w:lang w:val="en-GB"/>
        </w:rPr>
      </w:pPr>
    </w:p>
    <w:p w14:paraId="6B3E30CB" w14:textId="77777777" w:rsidR="006568EE" w:rsidRDefault="006568EE" w:rsidP="00285939">
      <w:pPr>
        <w:tabs>
          <w:tab w:val="left" w:pos="884"/>
          <w:tab w:val="left" w:pos="1418"/>
          <w:tab w:val="left" w:pos="2041"/>
          <w:tab w:val="left" w:pos="2551"/>
          <w:tab w:val="left" w:pos="3662"/>
          <w:tab w:val="left" w:pos="6213"/>
        </w:tabs>
        <w:spacing w:after="0" w:line="360" w:lineRule="auto"/>
        <w:jc w:val="both"/>
        <w:rPr>
          <w:rFonts w:ascii="Calibri" w:eastAsia="Times New Roman" w:hAnsi="Calibri" w:cs="Calibri"/>
          <w:sz w:val="24"/>
          <w:szCs w:val="24"/>
          <w:lang w:val="en-GB"/>
        </w:rPr>
      </w:pPr>
    </w:p>
    <w:p w14:paraId="1616C302" w14:textId="0AD26AD3" w:rsidR="00285939" w:rsidRPr="00285939" w:rsidRDefault="00285939" w:rsidP="00285939">
      <w:pPr>
        <w:tabs>
          <w:tab w:val="left" w:pos="884"/>
          <w:tab w:val="left" w:pos="1418"/>
          <w:tab w:val="left" w:pos="2041"/>
          <w:tab w:val="left" w:pos="2551"/>
          <w:tab w:val="left" w:pos="3662"/>
          <w:tab w:val="left" w:pos="6213"/>
        </w:tabs>
        <w:spacing w:after="0" w:line="360" w:lineRule="auto"/>
        <w:jc w:val="both"/>
        <w:rPr>
          <w:rFonts w:ascii="Calibri" w:eastAsia="Times New Roman" w:hAnsi="Calibri" w:cs="Calibri"/>
          <w:sz w:val="24"/>
          <w:szCs w:val="20"/>
          <w:lang w:val="en-AU"/>
        </w:rPr>
      </w:pPr>
      <w:r w:rsidRPr="00285939">
        <w:rPr>
          <w:rFonts w:ascii="Calibri" w:eastAsia="Times New Roman" w:hAnsi="Calibri" w:cs="Calibri"/>
          <w:sz w:val="24"/>
          <w:szCs w:val="24"/>
          <w:lang w:val="en-GB"/>
        </w:rPr>
        <w:t xml:space="preserve">DATED at </w:t>
      </w:r>
      <w:r w:rsidRPr="00285939">
        <w:rPr>
          <w:rFonts w:ascii="Calibri" w:eastAsia="Times New Roman" w:hAnsi="Calibri" w:cs="Calibri"/>
          <w:bCs/>
          <w:sz w:val="24"/>
          <w:szCs w:val="24"/>
          <w:lang w:val="en-GB"/>
        </w:rPr>
        <w:t xml:space="preserve">Wellington </w:t>
      </w:r>
      <w:r w:rsidRPr="00285939">
        <w:rPr>
          <w:rFonts w:ascii="Calibri" w:eastAsia="Times New Roman" w:hAnsi="Calibri" w:cs="Calibri"/>
          <w:sz w:val="24"/>
          <w:szCs w:val="24"/>
          <w:lang w:val="en-GB"/>
        </w:rPr>
        <w:t xml:space="preserve">this </w:t>
      </w:r>
      <w:r w:rsidR="007D0BAB">
        <w:rPr>
          <w:rFonts w:ascii="Calibri" w:eastAsia="Times New Roman" w:hAnsi="Calibri" w:cs="Calibri"/>
          <w:sz w:val="24"/>
          <w:szCs w:val="24"/>
          <w:lang w:val="en-GB"/>
        </w:rPr>
        <w:t>13th</w:t>
      </w:r>
      <w:r w:rsidR="00FF3015">
        <w:rPr>
          <w:rFonts w:ascii="Calibri" w:eastAsia="Times New Roman" w:hAnsi="Calibri" w:cs="Calibri"/>
          <w:sz w:val="24"/>
          <w:szCs w:val="24"/>
          <w:lang w:val="en-GB"/>
        </w:rPr>
        <w:t xml:space="preserve"> day of November 2020</w:t>
      </w:r>
    </w:p>
    <w:p w14:paraId="0243EA8A" w14:textId="77777777" w:rsidR="00285939" w:rsidRDefault="00285939" w:rsidP="00285939">
      <w:pPr>
        <w:tabs>
          <w:tab w:val="left" w:pos="567"/>
        </w:tabs>
        <w:spacing w:after="0" w:line="360" w:lineRule="auto"/>
        <w:rPr>
          <w:rFonts w:ascii="Times" w:eastAsia="Times New Roman" w:hAnsi="Times" w:cs="Times New Roman"/>
          <w:noProof/>
          <w:sz w:val="24"/>
          <w:szCs w:val="20"/>
          <w:lang w:eastAsia="en-NZ"/>
        </w:rPr>
      </w:pPr>
    </w:p>
    <w:p w14:paraId="4BE2C7DE" w14:textId="73FFC817" w:rsidR="006568EE" w:rsidRPr="00285939" w:rsidRDefault="003113C0" w:rsidP="00285939">
      <w:pPr>
        <w:tabs>
          <w:tab w:val="left" w:pos="567"/>
        </w:tabs>
        <w:spacing w:after="0" w:line="360" w:lineRule="auto"/>
        <w:rPr>
          <w:rFonts w:ascii="Times" w:eastAsia="Times New Roman" w:hAnsi="Times" w:cs="Times New Roman"/>
          <w:noProof/>
          <w:sz w:val="24"/>
          <w:szCs w:val="20"/>
          <w:lang w:eastAsia="en-NZ"/>
        </w:rPr>
      </w:pPr>
      <w:r>
        <w:rPr>
          <w:noProof/>
          <w:lang w:eastAsia="en-NZ"/>
        </w:rPr>
        <w:drawing>
          <wp:inline distT="0" distB="0" distL="0" distR="0" wp14:anchorId="36AC0E7F" wp14:editId="01B4E699">
            <wp:extent cx="613333" cy="1327401"/>
            <wp:effectExtent l="4763" t="0" r="1587" b="1588"/>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619138" cy="1339964"/>
                    </a:xfrm>
                    <a:prstGeom prst="rect">
                      <a:avLst/>
                    </a:prstGeom>
                    <a:noFill/>
                    <a:ln>
                      <a:noFill/>
                    </a:ln>
                  </pic:spPr>
                </pic:pic>
              </a:graphicData>
            </a:graphic>
          </wp:inline>
        </w:drawing>
      </w:r>
    </w:p>
    <w:p w14:paraId="69BCA07E" w14:textId="77777777" w:rsidR="00285939" w:rsidRPr="00285939" w:rsidRDefault="00285939" w:rsidP="00285939">
      <w:pPr>
        <w:tabs>
          <w:tab w:val="left" w:pos="567"/>
        </w:tabs>
        <w:spacing w:after="0" w:line="360" w:lineRule="auto"/>
        <w:rPr>
          <w:rFonts w:ascii="Calibri" w:eastAsia="Times New Roman" w:hAnsi="Calibri" w:cs="Calibri"/>
          <w:sz w:val="24"/>
          <w:szCs w:val="20"/>
          <w:lang w:val="en-AU"/>
        </w:rPr>
      </w:pPr>
    </w:p>
    <w:p w14:paraId="0465FAEF" w14:textId="77777777" w:rsidR="00285939" w:rsidRPr="00285939" w:rsidRDefault="00285939" w:rsidP="00285939">
      <w:pPr>
        <w:tabs>
          <w:tab w:val="left" w:pos="567"/>
        </w:tabs>
        <w:spacing w:after="0" w:line="240" w:lineRule="auto"/>
        <w:rPr>
          <w:rFonts w:ascii="Calibri" w:eastAsia="Times New Roman" w:hAnsi="Calibri" w:cs="Calibri"/>
          <w:b/>
          <w:color w:val="0070C0"/>
          <w:sz w:val="24"/>
          <w:szCs w:val="20"/>
          <w:lang w:val="en-AU"/>
        </w:rPr>
      </w:pPr>
      <w:r w:rsidRPr="00285939">
        <w:rPr>
          <w:rFonts w:ascii="Calibri" w:eastAsia="Times New Roman" w:hAnsi="Calibri" w:cs="Calibri"/>
          <w:b/>
          <w:color w:val="0070C0"/>
          <w:sz w:val="24"/>
          <w:szCs w:val="20"/>
          <w:lang w:val="en-AU"/>
        </w:rPr>
        <w:t>Jo Hughson</w:t>
      </w:r>
    </w:p>
    <w:p w14:paraId="575843A4" w14:textId="77777777" w:rsidR="00285939" w:rsidRPr="00285939" w:rsidRDefault="00285939" w:rsidP="00285939">
      <w:pPr>
        <w:tabs>
          <w:tab w:val="left" w:pos="567"/>
        </w:tabs>
        <w:spacing w:after="0" w:line="240" w:lineRule="auto"/>
        <w:rPr>
          <w:rFonts w:ascii="Calibri" w:eastAsia="Times New Roman" w:hAnsi="Calibri" w:cs="Calibri"/>
          <w:sz w:val="24"/>
          <w:szCs w:val="20"/>
          <w:lang w:val="en-AU"/>
        </w:rPr>
      </w:pPr>
      <w:r w:rsidRPr="00285939">
        <w:rPr>
          <w:rFonts w:ascii="Calibri" w:eastAsia="Times New Roman" w:hAnsi="Calibri" w:cs="Calibri"/>
          <w:sz w:val="24"/>
          <w:szCs w:val="20"/>
          <w:lang w:val="en-AU"/>
        </w:rPr>
        <w:t>Chairperson</w:t>
      </w:r>
    </w:p>
    <w:p w14:paraId="5BF1432E" w14:textId="4E65C85C" w:rsidR="004510EE" w:rsidRPr="00A60D16" w:rsidRDefault="00285939" w:rsidP="00A60D16">
      <w:pPr>
        <w:tabs>
          <w:tab w:val="left" w:pos="567"/>
        </w:tabs>
        <w:spacing w:after="0" w:line="240" w:lineRule="auto"/>
        <w:rPr>
          <w:rFonts w:ascii="Times" w:eastAsia="Times New Roman" w:hAnsi="Times" w:cs="Times New Roman"/>
          <w:sz w:val="24"/>
          <w:szCs w:val="20"/>
          <w:lang w:val="en-AU"/>
        </w:rPr>
      </w:pPr>
      <w:r w:rsidRPr="00285939">
        <w:rPr>
          <w:rFonts w:ascii="Calibri" w:eastAsia="Times New Roman" w:hAnsi="Calibri" w:cs="Calibri"/>
          <w:sz w:val="24"/>
          <w:szCs w:val="20"/>
          <w:lang w:val="en-AU"/>
        </w:rPr>
        <w:t>Social Workers Complaints and Disciplinary Tribunal</w:t>
      </w:r>
    </w:p>
    <w:sectPr w:rsidR="004510EE" w:rsidRPr="00A60D16" w:rsidSect="00B420F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CA774" w14:textId="77777777" w:rsidR="00F334CB" w:rsidRDefault="00F334CB" w:rsidP="00285939">
      <w:pPr>
        <w:spacing w:after="0" w:line="240" w:lineRule="auto"/>
      </w:pPr>
      <w:r>
        <w:separator/>
      </w:r>
    </w:p>
  </w:endnote>
  <w:endnote w:type="continuationSeparator" w:id="0">
    <w:p w14:paraId="75A0F791" w14:textId="77777777" w:rsidR="00F334CB" w:rsidRDefault="00F334CB" w:rsidP="00285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85B68" w14:textId="77777777" w:rsidR="009221F6" w:rsidRPr="00D71242" w:rsidRDefault="009221F6" w:rsidP="009221F6">
    <w:pPr>
      <w:pStyle w:val="Footer"/>
      <w:tabs>
        <w:tab w:val="left" w:pos="3969"/>
      </w:tabs>
      <w:rPr>
        <w:rFonts w:ascii="Calibri" w:hAnsi="Calibri" w:cs="Calibri"/>
        <w:color w:val="0070C0"/>
      </w:rPr>
    </w:pPr>
    <w:r w:rsidRPr="00D71242">
      <w:rPr>
        <w:rFonts w:ascii="Calibri" w:hAnsi="Calibri" w:cs="Calibri"/>
        <w:color w:val="0070C0"/>
      </w:rPr>
      <w:t>Level 24 AON Building</w:t>
    </w:r>
    <w:r>
      <w:rPr>
        <w:rFonts w:ascii="Calibri" w:hAnsi="Calibri" w:cs="Calibri"/>
        <w:color w:val="0070C0"/>
      </w:rPr>
      <w:tab/>
      <w:t>PO Box 10509</w:t>
    </w:r>
  </w:p>
  <w:p w14:paraId="39D756FC" w14:textId="77777777" w:rsidR="009221F6" w:rsidRPr="00D71242" w:rsidRDefault="009221F6" w:rsidP="009221F6">
    <w:pPr>
      <w:pStyle w:val="Footer"/>
      <w:tabs>
        <w:tab w:val="left" w:pos="3969"/>
        <w:tab w:val="center" w:pos="6804"/>
      </w:tabs>
      <w:rPr>
        <w:rFonts w:ascii="Calibri" w:hAnsi="Calibri" w:cs="Calibri"/>
        <w:color w:val="0070C0"/>
      </w:rPr>
    </w:pPr>
    <w:r w:rsidRPr="00D71242">
      <w:rPr>
        <w:rFonts w:ascii="Calibri" w:hAnsi="Calibri" w:cs="Calibri"/>
        <w:color w:val="0070C0"/>
      </w:rPr>
      <w:t>1 Willis Street</w:t>
    </w:r>
    <w:r>
      <w:rPr>
        <w:rFonts w:ascii="Calibri" w:hAnsi="Calibri" w:cs="Calibri"/>
        <w:color w:val="0070C0"/>
      </w:rPr>
      <w:tab/>
      <w:t>Wellington</w:t>
    </w:r>
  </w:p>
  <w:p w14:paraId="1530CFDA" w14:textId="77777777" w:rsidR="009221F6" w:rsidRPr="00D71242" w:rsidRDefault="009221F6" w:rsidP="009221F6">
    <w:pPr>
      <w:pStyle w:val="Footer"/>
      <w:rPr>
        <w:rFonts w:ascii="Calibri" w:hAnsi="Calibri" w:cs="Calibri"/>
        <w:color w:val="0070C0"/>
      </w:rPr>
    </w:pPr>
    <w:r w:rsidRPr="00D71242">
      <w:rPr>
        <w:rFonts w:ascii="Calibri" w:hAnsi="Calibri" w:cs="Calibri"/>
        <w:color w:val="0070C0"/>
      </w:rPr>
      <w:t>Wellington 6011</w:t>
    </w:r>
  </w:p>
  <w:p w14:paraId="724FAD26" w14:textId="77777777" w:rsidR="009221F6" w:rsidRDefault="009221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1088922"/>
      <w:docPartObj>
        <w:docPartGallery w:val="Page Numbers (Bottom of Page)"/>
        <w:docPartUnique/>
      </w:docPartObj>
    </w:sdtPr>
    <w:sdtEndPr>
      <w:rPr>
        <w:noProof/>
      </w:rPr>
    </w:sdtEndPr>
    <w:sdtContent>
      <w:p w14:paraId="0BC9FF58" w14:textId="726F0E6A" w:rsidR="009221F6" w:rsidRDefault="009221F6">
        <w:pPr>
          <w:pStyle w:val="Footer"/>
          <w:jc w:val="center"/>
        </w:pPr>
        <w:r>
          <w:fldChar w:fldCharType="begin"/>
        </w:r>
        <w:r>
          <w:instrText xml:space="preserve"> PAGE   \* MERGEFORMAT </w:instrText>
        </w:r>
        <w:r>
          <w:fldChar w:fldCharType="separate"/>
        </w:r>
        <w:r w:rsidR="004B4560">
          <w:rPr>
            <w:noProof/>
          </w:rPr>
          <w:t>26</w:t>
        </w:r>
        <w:r>
          <w:rPr>
            <w:noProof/>
          </w:rPr>
          <w:fldChar w:fldCharType="end"/>
        </w:r>
      </w:p>
    </w:sdtContent>
  </w:sdt>
  <w:p w14:paraId="5BED91E0" w14:textId="77777777" w:rsidR="009221F6" w:rsidRDefault="00922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8CFCA" w14:textId="77777777" w:rsidR="00F334CB" w:rsidRDefault="00F334CB" w:rsidP="00285939">
      <w:pPr>
        <w:spacing w:after="0" w:line="240" w:lineRule="auto"/>
      </w:pPr>
      <w:r>
        <w:separator/>
      </w:r>
    </w:p>
  </w:footnote>
  <w:footnote w:type="continuationSeparator" w:id="0">
    <w:p w14:paraId="4956C6DB" w14:textId="77777777" w:rsidR="00F334CB" w:rsidRDefault="00F334CB" w:rsidP="00285939">
      <w:pPr>
        <w:spacing w:after="0" w:line="240" w:lineRule="auto"/>
      </w:pPr>
      <w:r>
        <w:continuationSeparator/>
      </w:r>
    </w:p>
  </w:footnote>
  <w:footnote w:id="1">
    <w:p w14:paraId="2FDA43AF" w14:textId="7D1970A4" w:rsidR="00285939" w:rsidRDefault="00285939" w:rsidP="009221F6">
      <w:pPr>
        <w:pStyle w:val="FootnoteText"/>
        <w:ind w:left="142" w:hanging="142"/>
      </w:pPr>
      <w:r>
        <w:rPr>
          <w:rStyle w:val="FootnoteReference"/>
        </w:rPr>
        <w:footnoteRef/>
      </w:r>
      <w:r>
        <w:t xml:space="preserve"> </w:t>
      </w:r>
      <w:r w:rsidR="009221F6">
        <w:t xml:space="preserve"> </w:t>
      </w:r>
      <w:r>
        <w:rPr>
          <w:lang w:val="en-NZ"/>
        </w:rPr>
        <w:t>Register entry, Social Workers Registration Board.</w:t>
      </w:r>
      <w:r w:rsidR="00830EAB">
        <w:rPr>
          <w:lang w:val="en-NZ"/>
        </w:rPr>
        <w:t xml:space="preserve"> Affidavit of David Murray Quested sworn on 17 August 2020.</w:t>
      </w:r>
    </w:p>
  </w:footnote>
  <w:footnote w:id="2">
    <w:p w14:paraId="5A8E93B7" w14:textId="37CEA5EF" w:rsidR="007C036A" w:rsidRPr="007C036A" w:rsidRDefault="007C036A">
      <w:pPr>
        <w:pStyle w:val="FootnoteText"/>
        <w:rPr>
          <w:lang w:val="en-NZ"/>
        </w:rPr>
      </w:pPr>
      <w:r>
        <w:rPr>
          <w:rStyle w:val="FootnoteReference"/>
        </w:rPr>
        <w:footnoteRef/>
      </w:r>
      <w:r>
        <w:t xml:space="preserve"> </w:t>
      </w:r>
      <w:r>
        <w:rPr>
          <w:lang w:val="en-NZ"/>
        </w:rPr>
        <w:t>CRI-2018-090-004</w:t>
      </w:r>
      <w:r w:rsidR="00D27380">
        <w:rPr>
          <w:lang w:val="en-NZ"/>
        </w:rPr>
        <w:t>884 [2019] NZDC 22661</w:t>
      </w:r>
    </w:p>
  </w:footnote>
  <w:footnote w:id="3">
    <w:p w14:paraId="76F122CE" w14:textId="00AA8459" w:rsidR="00F922FE" w:rsidRPr="00B84D45" w:rsidRDefault="00F922FE" w:rsidP="009221F6">
      <w:pPr>
        <w:pStyle w:val="FootnoteText"/>
        <w:ind w:left="142" w:hanging="142"/>
        <w:rPr>
          <w:lang w:val="en-NZ"/>
        </w:rPr>
      </w:pPr>
      <w:r>
        <w:rPr>
          <w:rStyle w:val="FootnoteReference"/>
        </w:rPr>
        <w:footnoteRef/>
      </w:r>
      <w:r>
        <w:t xml:space="preserve"> </w:t>
      </w:r>
      <w:r w:rsidR="00B84D45">
        <w:rPr>
          <w:lang w:val="en-NZ"/>
        </w:rPr>
        <w:t>Section 47 of the Evidence Act 2006</w:t>
      </w:r>
      <w:r w:rsidR="00B404B3">
        <w:rPr>
          <w:lang w:val="en-NZ"/>
        </w:rPr>
        <w:t>.</w:t>
      </w:r>
    </w:p>
  </w:footnote>
  <w:footnote w:id="4">
    <w:p w14:paraId="1E1D1129" w14:textId="0F350651" w:rsidR="00C63807" w:rsidRPr="00071A83" w:rsidRDefault="00C63807" w:rsidP="009221F6">
      <w:pPr>
        <w:pStyle w:val="FootnoteText"/>
        <w:ind w:left="142" w:hanging="142"/>
        <w:rPr>
          <w:lang w:val="en-NZ"/>
        </w:rPr>
      </w:pPr>
      <w:r>
        <w:rPr>
          <w:rStyle w:val="FootnoteReference"/>
        </w:rPr>
        <w:footnoteRef/>
      </w:r>
      <w:r>
        <w:t xml:space="preserve"> </w:t>
      </w:r>
      <w:r w:rsidR="00071A83">
        <w:rPr>
          <w:lang w:val="en-NZ"/>
        </w:rPr>
        <w:t>Section 27 of the Sentencing Act 2002</w:t>
      </w:r>
      <w:r w:rsidR="00B404B3">
        <w:rPr>
          <w:lang w:val="en-NZ"/>
        </w:rPr>
        <w:t xml:space="preserve">. Report prepared by </w:t>
      </w:r>
      <w:r w:rsidR="000370D4">
        <w:rPr>
          <w:lang w:val="en-NZ"/>
        </w:rPr>
        <w:t xml:space="preserve">Specialist Reports Limited dated </w:t>
      </w:r>
      <w:r w:rsidR="0068315E">
        <w:rPr>
          <w:lang w:val="en-NZ"/>
        </w:rPr>
        <w:t>26 September 2019.</w:t>
      </w:r>
    </w:p>
  </w:footnote>
  <w:footnote w:id="5">
    <w:p w14:paraId="614744FE" w14:textId="2EB96E18" w:rsidR="006A6ED4" w:rsidRPr="009A24EC" w:rsidRDefault="006A6ED4" w:rsidP="009221F6">
      <w:pPr>
        <w:pStyle w:val="FootnoteText"/>
        <w:ind w:left="142" w:hanging="142"/>
        <w:rPr>
          <w:lang w:val="en-NZ"/>
        </w:rPr>
      </w:pPr>
      <w:r>
        <w:rPr>
          <w:rStyle w:val="FootnoteReference"/>
        </w:rPr>
        <w:footnoteRef/>
      </w:r>
      <w:r>
        <w:t xml:space="preserve"> </w:t>
      </w:r>
      <w:r w:rsidR="009A24EC">
        <w:rPr>
          <w:lang w:val="en-NZ"/>
        </w:rPr>
        <w:t xml:space="preserve">Report prepared by Jim van Rensburg, Registered Clinical Psychologist, dated </w:t>
      </w:r>
      <w:r w:rsidR="00B404B3">
        <w:rPr>
          <w:lang w:val="en-NZ"/>
        </w:rPr>
        <w:t>14 September 2019</w:t>
      </w:r>
      <w:r w:rsidR="009A24EC">
        <w:rPr>
          <w:lang w:val="en-NZ"/>
        </w:rPr>
        <w:t>.</w:t>
      </w:r>
    </w:p>
  </w:footnote>
  <w:footnote w:id="6">
    <w:p w14:paraId="185E563D" w14:textId="7FEC2AB1" w:rsidR="005357D5" w:rsidRPr="008E751F" w:rsidRDefault="005357D5" w:rsidP="009221F6">
      <w:pPr>
        <w:pStyle w:val="FootnoteText"/>
        <w:ind w:left="142" w:hanging="142"/>
        <w:rPr>
          <w:lang w:val="en-NZ"/>
        </w:rPr>
      </w:pPr>
      <w:r>
        <w:rPr>
          <w:rStyle w:val="FootnoteReference"/>
        </w:rPr>
        <w:footnoteRef/>
      </w:r>
      <w:r>
        <w:t xml:space="preserve"> </w:t>
      </w:r>
      <w:r w:rsidR="00DC6905">
        <w:rPr>
          <w:lang w:val="en-NZ"/>
        </w:rPr>
        <w:t xml:space="preserve">Ruling of Judge CJ Field [on Name Suppression Application] dated 4 October 2019 and </w:t>
      </w:r>
      <w:r w:rsidR="00DA5620">
        <w:rPr>
          <w:lang w:val="en-NZ"/>
        </w:rPr>
        <w:t xml:space="preserve">Judgment of Woolford J in </w:t>
      </w:r>
      <w:r w:rsidR="00DA5620">
        <w:rPr>
          <w:i/>
          <w:iCs/>
          <w:lang w:val="en-NZ"/>
        </w:rPr>
        <w:t>A v R</w:t>
      </w:r>
      <w:r w:rsidR="008E751F">
        <w:rPr>
          <w:i/>
          <w:iCs/>
          <w:lang w:val="en-NZ"/>
        </w:rPr>
        <w:t xml:space="preserve"> </w:t>
      </w:r>
      <w:r w:rsidR="008E751F">
        <w:rPr>
          <w:lang w:val="en-NZ"/>
        </w:rPr>
        <w:t>[2019] NZHC 3412.</w:t>
      </w:r>
    </w:p>
  </w:footnote>
  <w:footnote w:id="7">
    <w:p w14:paraId="2893AAAF" w14:textId="77777777" w:rsidR="00D85A1C" w:rsidRDefault="00D85A1C" w:rsidP="00D85A1C">
      <w:pPr>
        <w:pStyle w:val="FootnoteText"/>
      </w:pPr>
      <w:r>
        <w:rPr>
          <w:rStyle w:val="FootnoteReference"/>
        </w:rPr>
        <w:footnoteRef/>
      </w:r>
      <w:r>
        <w:t xml:space="preserve"> </w:t>
      </w:r>
      <w:r>
        <w:rPr>
          <w:lang w:val="en-NZ"/>
        </w:rPr>
        <w:t>Clause 5(1), Schedule 2, SWR Act.</w:t>
      </w:r>
    </w:p>
  </w:footnote>
  <w:footnote w:id="8">
    <w:p w14:paraId="068E9513" w14:textId="77777777" w:rsidR="00171F3F" w:rsidRDefault="00171F3F" w:rsidP="00171F3F">
      <w:pPr>
        <w:pStyle w:val="FootnoteText"/>
      </w:pPr>
      <w:r>
        <w:rPr>
          <w:rStyle w:val="FootnoteReference"/>
        </w:rPr>
        <w:footnoteRef/>
      </w:r>
      <w:r>
        <w:t xml:space="preserve"> </w:t>
      </w:r>
      <w:r>
        <w:rPr>
          <w:lang w:val="en-NZ"/>
        </w:rPr>
        <w:t xml:space="preserve">Clause 6, Schedule 2, SWR Act. See </w:t>
      </w:r>
      <w:r>
        <w:rPr>
          <w:i/>
          <w:iCs/>
          <w:lang w:val="en-NZ"/>
        </w:rPr>
        <w:t xml:space="preserve">PCC of the Nursing Council v HPDT and W </w:t>
      </w:r>
      <w:r w:rsidRPr="00743E5F">
        <w:rPr>
          <w:lang w:val="en-NZ"/>
        </w:rPr>
        <w:t>[2020] NZCA 435</w:t>
      </w:r>
      <w:r>
        <w:rPr>
          <w:lang w:val="en-NZ"/>
        </w:rPr>
        <w:t>.</w:t>
      </w:r>
    </w:p>
  </w:footnote>
  <w:footnote w:id="9">
    <w:p w14:paraId="4A9BA8F1" w14:textId="5159A6F3" w:rsidR="00517251" w:rsidRPr="00517251" w:rsidRDefault="00517251">
      <w:pPr>
        <w:pStyle w:val="FootnoteText"/>
        <w:rPr>
          <w:lang w:val="en-NZ"/>
        </w:rPr>
      </w:pPr>
      <w:r>
        <w:rPr>
          <w:rStyle w:val="FootnoteReference"/>
        </w:rPr>
        <w:footnoteRef/>
      </w:r>
      <w:r>
        <w:t xml:space="preserve"> </w:t>
      </w:r>
      <w:r>
        <w:rPr>
          <w:lang w:val="en-NZ"/>
        </w:rPr>
        <w:t>Exhibit</w:t>
      </w:r>
      <w:r w:rsidR="0072411C">
        <w:rPr>
          <w:lang w:val="en-NZ"/>
        </w:rPr>
        <w:t>s K and</w:t>
      </w:r>
      <w:r>
        <w:rPr>
          <w:lang w:val="en-NZ"/>
        </w:rPr>
        <w:t xml:space="preserve"> L, Mr </w:t>
      </w:r>
      <w:proofErr w:type="spellStart"/>
      <w:r>
        <w:rPr>
          <w:lang w:val="en-NZ"/>
        </w:rPr>
        <w:t>Quested’s</w:t>
      </w:r>
      <w:proofErr w:type="spellEnd"/>
      <w:r>
        <w:rPr>
          <w:lang w:val="en-NZ"/>
        </w:rPr>
        <w:t xml:space="preserve"> affidavit.</w:t>
      </w:r>
    </w:p>
  </w:footnote>
  <w:footnote w:id="10">
    <w:p w14:paraId="0FBC29EF" w14:textId="0F080646" w:rsidR="009D3C43" w:rsidRPr="009D3C43" w:rsidRDefault="009D3C43">
      <w:pPr>
        <w:pStyle w:val="FootnoteText"/>
        <w:rPr>
          <w:lang w:val="en-NZ"/>
        </w:rPr>
      </w:pPr>
      <w:r>
        <w:rPr>
          <w:rStyle w:val="FootnoteReference"/>
        </w:rPr>
        <w:footnoteRef/>
      </w:r>
      <w:r>
        <w:t xml:space="preserve"> </w:t>
      </w:r>
      <w:r w:rsidR="00101867">
        <w:rPr>
          <w:lang w:val="en-NZ"/>
        </w:rPr>
        <w:t>RSW8/SWDT/2020.</w:t>
      </w:r>
    </w:p>
  </w:footnote>
  <w:footnote w:id="11">
    <w:p w14:paraId="7B162A45" w14:textId="41D436A6" w:rsidR="00A66818" w:rsidRPr="00A66818" w:rsidRDefault="00A66818">
      <w:pPr>
        <w:pStyle w:val="FootnoteText"/>
        <w:rPr>
          <w:lang w:val="en-NZ"/>
        </w:rPr>
      </w:pPr>
      <w:r>
        <w:rPr>
          <w:rStyle w:val="FootnoteReference"/>
        </w:rPr>
        <w:footnoteRef/>
      </w:r>
      <w:r>
        <w:t xml:space="preserve"> </w:t>
      </w:r>
      <w:r>
        <w:rPr>
          <w:lang w:val="en-NZ"/>
        </w:rPr>
        <w:t>Sentencing Notes at [30].</w:t>
      </w:r>
    </w:p>
  </w:footnote>
  <w:footnote w:id="12">
    <w:p w14:paraId="404703B5" w14:textId="0D1DE159" w:rsidR="006D715C" w:rsidRPr="006D715C" w:rsidRDefault="006D715C" w:rsidP="007D0BAB">
      <w:pPr>
        <w:pStyle w:val="FootnoteText"/>
        <w:tabs>
          <w:tab w:val="left" w:pos="1134"/>
        </w:tabs>
        <w:rPr>
          <w:lang w:val="en-NZ"/>
        </w:rPr>
      </w:pPr>
      <w:r>
        <w:rPr>
          <w:rStyle w:val="FootnoteReference"/>
        </w:rPr>
        <w:footnoteRef/>
      </w:r>
      <w:r>
        <w:t xml:space="preserve"> </w:t>
      </w:r>
      <w:r>
        <w:rPr>
          <w:lang w:val="en-NZ"/>
        </w:rPr>
        <w:t>Gang associations, cultural disconnectedness, wh</w:t>
      </w:r>
      <w:r w:rsidR="004B0FD5">
        <w:rPr>
          <w:lang w:val="en-NZ"/>
        </w:rPr>
        <w:t xml:space="preserve">anau disconnectedness, alcohol and drugs that she was exposed to as a result of family violence, and an education ending abruptly as a result of her </w:t>
      </w:r>
      <w:r w:rsidR="009C118E">
        <w:rPr>
          <w:lang w:val="en-NZ"/>
        </w:rPr>
        <w:t>pregnancy as a teenage</w:t>
      </w:r>
      <w:r w:rsidR="00FB65C9">
        <w:rPr>
          <w:lang w:val="en-NZ"/>
        </w:rPr>
        <w:t>r</w:t>
      </w:r>
      <w:r w:rsidR="009C118E">
        <w:rPr>
          <w:lang w:val="en-NZ"/>
        </w:rPr>
        <w:t xml:space="preserve"> (as referred to the in the cultural report provided pursuant to section 27 of the Sentencing Act 2002.</w:t>
      </w:r>
    </w:p>
  </w:footnote>
  <w:footnote w:id="13">
    <w:p w14:paraId="4024ABFB" w14:textId="1F1B4DAA" w:rsidR="00F47A13" w:rsidRPr="00F47A13" w:rsidRDefault="00F47A13">
      <w:pPr>
        <w:pStyle w:val="FootnoteText"/>
        <w:rPr>
          <w:lang w:val="en-NZ"/>
        </w:rPr>
      </w:pPr>
      <w:r>
        <w:rPr>
          <w:rStyle w:val="FootnoteReference"/>
        </w:rPr>
        <w:footnoteRef/>
      </w:r>
      <w:r>
        <w:t xml:space="preserve"> </w:t>
      </w:r>
      <w:r>
        <w:rPr>
          <w:lang w:val="en-NZ"/>
        </w:rPr>
        <w:t>Sentencing Notes at [22],</w:t>
      </w:r>
    </w:p>
  </w:footnote>
  <w:footnote w:id="14">
    <w:p w14:paraId="4B81996E" w14:textId="497F7372" w:rsidR="000C457C" w:rsidRPr="00696508" w:rsidRDefault="000C457C" w:rsidP="009221F6">
      <w:pPr>
        <w:tabs>
          <w:tab w:val="left" w:pos="709"/>
        </w:tabs>
        <w:spacing w:after="0" w:line="240" w:lineRule="auto"/>
        <w:ind w:left="142" w:hanging="142"/>
        <w:contextualSpacing/>
        <w:jc w:val="both"/>
        <w:rPr>
          <w:rFonts w:ascii="Calibri" w:eastAsia="Times New Roman" w:hAnsi="Calibri" w:cs="Calibri"/>
          <w:sz w:val="20"/>
          <w:szCs w:val="20"/>
          <w:lang w:val="en-GB"/>
        </w:rPr>
      </w:pPr>
      <w:r>
        <w:rPr>
          <w:rStyle w:val="FootnoteReference"/>
        </w:rPr>
        <w:footnoteRef/>
      </w:r>
      <w:r>
        <w:t xml:space="preserve"> </w:t>
      </w:r>
      <w:r w:rsidRPr="000C457C">
        <w:rPr>
          <w:rFonts w:ascii="Calibri" w:eastAsia="Times New Roman" w:hAnsi="Calibri" w:cs="Calibri"/>
          <w:sz w:val="20"/>
          <w:szCs w:val="20"/>
          <w:lang w:val="en-GB"/>
        </w:rPr>
        <w:t>The SWR Act was amended in February 2019. Convictions were previously considered in the context of charges brought under section 82(1)(b) (conduct unbecoming) which requires the Tribunal to find that the conduct reflects adversely on a social worker’s fitness to practise as a social worker</w:t>
      </w:r>
      <w:r w:rsidRPr="000C457C">
        <w:rPr>
          <w:rStyle w:val="FootnoteReference"/>
          <w:rFonts w:ascii="Calibri" w:eastAsia="Times New Roman" w:hAnsi="Calibri" w:cs="Calibri"/>
          <w:sz w:val="20"/>
          <w:szCs w:val="20"/>
          <w:lang w:val="en-GB"/>
        </w:rPr>
        <w:footnoteRef/>
      </w:r>
      <w:r w:rsidRPr="000C457C">
        <w:rPr>
          <w:rFonts w:ascii="Calibri" w:eastAsia="Times New Roman" w:hAnsi="Calibri" w:cs="Calibri"/>
          <w:sz w:val="20"/>
          <w:szCs w:val="20"/>
          <w:lang w:val="en-GB"/>
        </w:rPr>
        <w:t xml:space="preserve">. </w:t>
      </w:r>
    </w:p>
  </w:footnote>
  <w:footnote w:id="15">
    <w:p w14:paraId="5DB82FC4" w14:textId="36E15531" w:rsidR="00814968" w:rsidRPr="005E1744" w:rsidRDefault="00814968" w:rsidP="009221F6">
      <w:pPr>
        <w:pStyle w:val="FootnoteText"/>
        <w:ind w:left="142" w:hanging="142"/>
        <w:rPr>
          <w:lang w:val="en-NZ"/>
        </w:rPr>
      </w:pPr>
      <w:r>
        <w:rPr>
          <w:rStyle w:val="FootnoteReference"/>
        </w:rPr>
        <w:footnoteRef/>
      </w:r>
      <w:r>
        <w:t xml:space="preserve"> </w:t>
      </w:r>
      <w:r w:rsidRPr="00F2503D">
        <w:rPr>
          <w:i/>
          <w:iCs/>
          <w:lang w:val="en-NZ"/>
        </w:rPr>
        <w:t>CAC v RSW Y</w:t>
      </w:r>
      <w:r>
        <w:rPr>
          <w:lang w:val="en-NZ"/>
        </w:rPr>
        <w:t xml:space="preserve"> </w:t>
      </w:r>
      <w:r w:rsidR="00F2503D">
        <w:rPr>
          <w:lang w:val="en-NZ"/>
        </w:rPr>
        <w:t>RSW2/D2/SWCDT/2015, 23 June 2015 where the practitioner had entered into a sexual relationship with a former client and continued to access records relating to the client after he ceased to be her client. The Tribunal found the practitioner’s conduct was gross or severe misconduct.</w:t>
      </w:r>
      <w:r w:rsidR="005E1744">
        <w:rPr>
          <w:lang w:val="en-NZ"/>
        </w:rPr>
        <w:t xml:space="preserve"> The other case is </w:t>
      </w:r>
      <w:r w:rsidR="005E1744">
        <w:rPr>
          <w:i/>
          <w:iCs/>
          <w:lang w:val="en-NZ"/>
        </w:rPr>
        <w:t xml:space="preserve">CAC v RSW Austin </w:t>
      </w:r>
      <w:r w:rsidR="005E1744">
        <w:rPr>
          <w:lang w:val="en-NZ"/>
        </w:rPr>
        <w:t>RSW2/D2/SWCDT, 9 September 2016</w:t>
      </w:r>
      <w:r w:rsidR="00935BEE">
        <w:rPr>
          <w:lang w:val="en-NZ"/>
        </w:rPr>
        <w:t xml:space="preserve"> in which the practitioner had entered into an “intense personal relationship” with a client whom she knew was vulnerable, and had failed to discuss this with a supervisor</w:t>
      </w:r>
      <w:r w:rsidR="00153998">
        <w:rPr>
          <w:lang w:val="en-NZ"/>
        </w:rPr>
        <w:t>. While there was no alleged sexual conduct, the level of contact was found to be significant and showed a close and dependent relationship.</w:t>
      </w:r>
      <w:r w:rsidR="0037130B">
        <w:rPr>
          <w:lang w:val="en-NZ"/>
        </w:rPr>
        <w:t xml:space="preserve"> The PCC also referred to </w:t>
      </w:r>
      <w:r w:rsidR="0014417E">
        <w:rPr>
          <w:lang w:val="en-NZ"/>
        </w:rPr>
        <w:t xml:space="preserve">two cases in the Teachers Disciplinary Tribunal (involving a teacher forming an inappropriate relationship with a 10-year old student and </w:t>
      </w:r>
      <w:r w:rsidR="00CB4BE6">
        <w:rPr>
          <w:lang w:val="en-NZ"/>
        </w:rPr>
        <w:t>the other, where the teacher began messaging a student she had taught which culminated in her sending nude photographs of herself to the student over Snapchat</w:t>
      </w:r>
      <w:r w:rsidR="00514228">
        <w:rPr>
          <w:lang w:val="en-NZ"/>
        </w:rPr>
        <w:t>.</w:t>
      </w:r>
    </w:p>
  </w:footnote>
  <w:footnote w:id="16">
    <w:p w14:paraId="7DCCCD36" w14:textId="47944F3A" w:rsidR="00920204" w:rsidRPr="00920204" w:rsidRDefault="00920204" w:rsidP="009221F6">
      <w:pPr>
        <w:pStyle w:val="FootnoteText"/>
        <w:ind w:left="142" w:hanging="142"/>
        <w:rPr>
          <w:lang w:val="en-NZ"/>
        </w:rPr>
      </w:pPr>
      <w:r>
        <w:rPr>
          <w:rStyle w:val="FootnoteReference"/>
        </w:rPr>
        <w:footnoteRef/>
      </w:r>
      <w:r>
        <w:t xml:space="preserve"> </w:t>
      </w:r>
      <w:r>
        <w:rPr>
          <w:lang w:val="en-NZ"/>
        </w:rPr>
        <w:t>MPDT 236/03/103C, 17 July 2003</w:t>
      </w:r>
    </w:p>
  </w:footnote>
  <w:footnote w:id="17">
    <w:p w14:paraId="4FB894C8" w14:textId="2E5BEC5B" w:rsidR="001508E7" w:rsidRPr="001508E7" w:rsidRDefault="001508E7" w:rsidP="009221F6">
      <w:pPr>
        <w:pStyle w:val="FootnoteText"/>
        <w:ind w:left="142" w:hanging="142"/>
        <w:rPr>
          <w:lang w:val="en-NZ"/>
        </w:rPr>
      </w:pPr>
      <w:r>
        <w:rPr>
          <w:rStyle w:val="FootnoteReference"/>
        </w:rPr>
        <w:footnoteRef/>
      </w:r>
      <w:r>
        <w:t xml:space="preserve"> </w:t>
      </w:r>
      <w:r>
        <w:rPr>
          <w:lang w:val="en-NZ"/>
        </w:rPr>
        <w:t>As the PCC identified, the reference to ‘fitness to practise’ in section 47(2</w:t>
      </w:r>
      <w:r w:rsidR="00B818CF">
        <w:rPr>
          <w:lang w:val="en-NZ"/>
        </w:rPr>
        <w:t>) is applicable in that setting. The words in section 82(1)(c) are the same.</w:t>
      </w:r>
    </w:p>
  </w:footnote>
  <w:footnote w:id="18">
    <w:p w14:paraId="0D14B91F" w14:textId="2E663B6E" w:rsidR="00186D77" w:rsidRPr="00186D77" w:rsidRDefault="00186D77" w:rsidP="009221F6">
      <w:pPr>
        <w:pStyle w:val="FootnoteText"/>
        <w:ind w:left="142" w:hanging="142"/>
        <w:rPr>
          <w:lang w:val="en-NZ"/>
        </w:rPr>
      </w:pPr>
      <w:r>
        <w:rPr>
          <w:rStyle w:val="FootnoteReference"/>
        </w:rPr>
        <w:footnoteRef/>
      </w:r>
      <w:r>
        <w:t xml:space="preserve"> </w:t>
      </w:r>
      <w:r>
        <w:rPr>
          <w:lang w:val="en-NZ"/>
        </w:rPr>
        <w:t>Principle 1 of the 2014</w:t>
      </w:r>
      <w:r w:rsidR="003747A6">
        <w:rPr>
          <w:lang w:val="en-NZ"/>
        </w:rPr>
        <w:t xml:space="preserve"> Code</w:t>
      </w:r>
      <w:r>
        <w:rPr>
          <w:lang w:val="en-NZ"/>
        </w:rPr>
        <w:t>.</w:t>
      </w:r>
    </w:p>
  </w:footnote>
  <w:footnote w:id="19">
    <w:p w14:paraId="2758FE4D" w14:textId="2302C7B9" w:rsidR="00186D77" w:rsidRPr="00186D77" w:rsidRDefault="00186D77" w:rsidP="009221F6">
      <w:pPr>
        <w:pStyle w:val="FootnoteText"/>
        <w:ind w:left="142" w:hanging="142"/>
        <w:rPr>
          <w:lang w:val="en-NZ"/>
        </w:rPr>
      </w:pPr>
      <w:r>
        <w:rPr>
          <w:rStyle w:val="FootnoteReference"/>
        </w:rPr>
        <w:footnoteRef/>
      </w:r>
      <w:r>
        <w:t xml:space="preserve"> </w:t>
      </w:r>
      <w:r w:rsidR="003747A6">
        <w:rPr>
          <w:lang w:val="en-NZ"/>
        </w:rPr>
        <w:t>Principle 1.1 of the 2016 Code.</w:t>
      </w:r>
    </w:p>
  </w:footnote>
  <w:footnote w:id="20">
    <w:p w14:paraId="00F98C92" w14:textId="47775C60" w:rsidR="003747A6" w:rsidRPr="003747A6" w:rsidRDefault="003747A6" w:rsidP="009221F6">
      <w:pPr>
        <w:pStyle w:val="FootnoteText"/>
        <w:ind w:left="142" w:hanging="142"/>
        <w:rPr>
          <w:lang w:val="en-NZ"/>
        </w:rPr>
      </w:pPr>
      <w:r>
        <w:rPr>
          <w:rStyle w:val="FootnoteReference"/>
        </w:rPr>
        <w:footnoteRef/>
      </w:r>
      <w:r>
        <w:t xml:space="preserve"> </w:t>
      </w:r>
      <w:r>
        <w:rPr>
          <w:lang w:val="en-NZ"/>
        </w:rPr>
        <w:t>Principle 9.1 of the 2016 Code.</w:t>
      </w:r>
    </w:p>
  </w:footnote>
  <w:footnote w:id="21">
    <w:p w14:paraId="6D3919EB" w14:textId="51FB700B" w:rsidR="00DD093F" w:rsidRPr="00DD093F" w:rsidRDefault="00DD093F" w:rsidP="009221F6">
      <w:pPr>
        <w:pStyle w:val="FootnoteText"/>
        <w:ind w:left="142" w:hanging="142"/>
        <w:rPr>
          <w:lang w:val="en-NZ"/>
        </w:rPr>
      </w:pPr>
      <w:r>
        <w:rPr>
          <w:rStyle w:val="FootnoteReference"/>
        </w:rPr>
        <w:footnoteRef/>
      </w:r>
      <w:r>
        <w:t xml:space="preserve"> </w:t>
      </w:r>
      <w:r>
        <w:rPr>
          <w:i/>
          <w:iCs/>
          <w:lang w:val="en-NZ"/>
        </w:rPr>
        <w:t xml:space="preserve">Collie v Nursing Council of New Zealand </w:t>
      </w:r>
      <w:r>
        <w:rPr>
          <w:lang w:val="en-NZ"/>
        </w:rPr>
        <w:t>[2000] NZAR 74 (HC) at [28].</w:t>
      </w:r>
    </w:p>
  </w:footnote>
  <w:footnote w:id="22">
    <w:p w14:paraId="2B73A654" w14:textId="0E51F249" w:rsidR="0057741E" w:rsidRPr="006B6E13" w:rsidRDefault="0057741E" w:rsidP="009221F6">
      <w:pPr>
        <w:pStyle w:val="FootnoteText"/>
        <w:ind w:left="142" w:hanging="142"/>
        <w:rPr>
          <w:lang w:val="en-NZ"/>
        </w:rPr>
      </w:pPr>
      <w:r>
        <w:rPr>
          <w:rStyle w:val="FootnoteReference"/>
        </w:rPr>
        <w:footnoteRef/>
      </w:r>
      <w:r>
        <w:t xml:space="preserve"> </w:t>
      </w:r>
      <w:r>
        <w:rPr>
          <w:lang w:val="en-NZ"/>
        </w:rPr>
        <w:t xml:space="preserve">The two-step approach to the Tribunal’s assessment of professional misconduct has been adopted by the Tribunal </w:t>
      </w:r>
      <w:r w:rsidR="006B6E13">
        <w:rPr>
          <w:lang w:val="en-NZ"/>
        </w:rPr>
        <w:t>in many previous cases including</w:t>
      </w:r>
      <w:r w:rsidR="009C03C6">
        <w:rPr>
          <w:lang w:val="en-NZ"/>
        </w:rPr>
        <w:t xml:space="preserve"> most recently in </w:t>
      </w:r>
      <w:r w:rsidR="0093386D">
        <w:rPr>
          <w:i/>
          <w:iCs/>
          <w:lang w:val="en-NZ"/>
        </w:rPr>
        <w:t xml:space="preserve">CAC v Harrison </w:t>
      </w:r>
      <w:r w:rsidR="0093386D">
        <w:rPr>
          <w:lang w:val="en-NZ"/>
        </w:rPr>
        <w:t>RSW3/D1/SWCDT/2019.</w:t>
      </w:r>
    </w:p>
  </w:footnote>
  <w:footnote w:id="23">
    <w:p w14:paraId="24E215CB" w14:textId="5297AAA3" w:rsidR="009C04DF" w:rsidRPr="009C04DF" w:rsidRDefault="009C04DF" w:rsidP="009221F6">
      <w:pPr>
        <w:pStyle w:val="FootnoteText"/>
        <w:ind w:left="142" w:hanging="142"/>
        <w:rPr>
          <w:lang w:val="en-NZ"/>
        </w:rPr>
      </w:pPr>
      <w:r>
        <w:rPr>
          <w:rStyle w:val="FootnoteReference"/>
        </w:rPr>
        <w:footnoteRef/>
      </w:r>
      <w:r>
        <w:t xml:space="preserve"> </w:t>
      </w:r>
      <w:r>
        <w:rPr>
          <w:i/>
          <w:iCs/>
          <w:lang w:val="en-NZ"/>
        </w:rPr>
        <w:t xml:space="preserve">Z v Dental Council Complaints Assessment Committee </w:t>
      </w:r>
      <w:r>
        <w:rPr>
          <w:lang w:val="en-NZ"/>
        </w:rPr>
        <w:t>[2008] NZSC 55, [2009] 1 NZLR 1.</w:t>
      </w:r>
    </w:p>
  </w:footnote>
  <w:footnote w:id="24">
    <w:p w14:paraId="58A00208" w14:textId="6BB07DA0" w:rsidR="00E50CAE" w:rsidRPr="00F57DE8" w:rsidRDefault="00E50CAE">
      <w:pPr>
        <w:pStyle w:val="FootnoteText"/>
        <w:rPr>
          <w:lang w:val="en-NZ"/>
        </w:rPr>
      </w:pPr>
      <w:r>
        <w:rPr>
          <w:rStyle w:val="FootnoteReference"/>
        </w:rPr>
        <w:footnoteRef/>
      </w:r>
      <w:r>
        <w:t xml:space="preserve"> </w:t>
      </w:r>
      <w:r w:rsidR="00F57DE8">
        <w:rPr>
          <w:lang w:val="en-NZ"/>
        </w:rPr>
        <w:t>Section 82(1)(a) and</w:t>
      </w:r>
      <w:r w:rsidR="00CE55F7">
        <w:rPr>
          <w:lang w:val="en-NZ"/>
        </w:rPr>
        <w:t xml:space="preserve"> section 32</w:t>
      </w:r>
      <w:r w:rsidR="00F57DE8">
        <w:rPr>
          <w:lang w:val="en-NZ"/>
        </w:rPr>
        <w:t xml:space="preserve"> (2)(d)</w:t>
      </w:r>
      <w:r w:rsidR="00DF641A">
        <w:rPr>
          <w:lang w:val="en-NZ"/>
        </w:rPr>
        <w:t xml:space="preserve"> of the definition of professional misconduct</w:t>
      </w:r>
      <w:r w:rsidR="00F57DE8">
        <w:rPr>
          <w:lang w:val="en-NZ"/>
        </w:rPr>
        <w:t>, SWR Act.</w:t>
      </w:r>
    </w:p>
  </w:footnote>
  <w:footnote w:id="25">
    <w:p w14:paraId="252F07CE" w14:textId="58EAC250" w:rsidR="00596A17" w:rsidRPr="00916D09" w:rsidRDefault="00596A17" w:rsidP="009221F6">
      <w:pPr>
        <w:pStyle w:val="FootnoteText"/>
        <w:ind w:left="142" w:hanging="142"/>
        <w:rPr>
          <w:lang w:val="en-NZ"/>
        </w:rPr>
      </w:pPr>
      <w:r>
        <w:rPr>
          <w:rStyle w:val="FootnoteReference"/>
        </w:rPr>
        <w:footnoteRef/>
      </w:r>
      <w:r>
        <w:t xml:space="preserve"> </w:t>
      </w:r>
      <w:r w:rsidR="00803062">
        <w:rPr>
          <w:lang w:val="en-NZ"/>
        </w:rPr>
        <w:t>Section 82(1)(b)</w:t>
      </w:r>
      <w:r w:rsidR="000E2ADF">
        <w:rPr>
          <w:lang w:val="en-NZ"/>
        </w:rPr>
        <w:t>, SWR Act</w:t>
      </w:r>
      <w:r w:rsidR="00803062">
        <w:rPr>
          <w:lang w:val="en-NZ"/>
        </w:rPr>
        <w:t xml:space="preserve"> – conduct that is unbecoming of a social worker an</w:t>
      </w:r>
      <w:r w:rsidR="00916D09">
        <w:rPr>
          <w:lang w:val="en-NZ"/>
        </w:rPr>
        <w:t xml:space="preserve">d reflects adversely on the </w:t>
      </w:r>
      <w:r w:rsidR="009221F6">
        <w:rPr>
          <w:lang w:val="en-NZ"/>
        </w:rPr>
        <w:t xml:space="preserve">  </w:t>
      </w:r>
      <w:r w:rsidR="00916D09">
        <w:rPr>
          <w:lang w:val="en-NZ"/>
        </w:rPr>
        <w:t>social worker’s fitness to practise as a social worker.</w:t>
      </w:r>
    </w:p>
  </w:footnote>
  <w:footnote w:id="26">
    <w:p w14:paraId="4812C4DD" w14:textId="36D581F9" w:rsidR="003504C5" w:rsidRPr="003504C5" w:rsidRDefault="003504C5">
      <w:pPr>
        <w:pStyle w:val="FootnoteText"/>
        <w:rPr>
          <w:lang w:val="en-NZ"/>
        </w:rPr>
      </w:pPr>
      <w:r>
        <w:rPr>
          <w:rStyle w:val="FootnoteReference"/>
        </w:rPr>
        <w:footnoteRef/>
      </w:r>
      <w:r>
        <w:t xml:space="preserve"> </w:t>
      </w:r>
      <w:r w:rsidRPr="003504C5">
        <w:t>[</w:t>
      </w:r>
      <w:r w:rsidRPr="003504C5">
        <w:rPr>
          <w:rFonts w:ascii="Calibri" w:hAnsi="Calibri" w:cs="Calibri"/>
        </w:rPr>
        <w:t>2012] NZHC 3354, at [44]-[55]</w:t>
      </w:r>
      <w:r>
        <w:rPr>
          <w:rFonts w:ascii="Calibri" w:hAnsi="Calibri" w:cs="Calibri"/>
        </w:rPr>
        <w:t>.</w:t>
      </w:r>
    </w:p>
  </w:footnote>
  <w:footnote w:id="27">
    <w:p w14:paraId="0CEB6EE3" w14:textId="5CFA5333" w:rsidR="00AC2564" w:rsidRPr="00AC2564" w:rsidRDefault="00AC2564">
      <w:pPr>
        <w:pStyle w:val="FootnoteText"/>
        <w:rPr>
          <w:lang w:val="en-NZ"/>
        </w:rPr>
      </w:pPr>
      <w:r>
        <w:rPr>
          <w:rStyle w:val="FootnoteReference"/>
        </w:rPr>
        <w:footnoteRef/>
      </w:r>
      <w:r>
        <w:t xml:space="preserve"> </w:t>
      </w:r>
      <w:r w:rsidRPr="00AC2564">
        <w:rPr>
          <w:i/>
          <w:iCs/>
          <w:lang w:val="en-NZ"/>
        </w:rPr>
        <w:t>RSW Harrison, RSW Austin and RSW Y</w:t>
      </w:r>
      <w:r>
        <w:rPr>
          <w:lang w:val="en-NZ"/>
        </w:rPr>
        <w:t xml:space="preserve"> (all above)</w:t>
      </w:r>
    </w:p>
  </w:footnote>
  <w:footnote w:id="28">
    <w:p w14:paraId="20B34219" w14:textId="4093042E" w:rsidR="00285618" w:rsidRPr="00285618" w:rsidRDefault="00285618">
      <w:pPr>
        <w:pStyle w:val="FootnoteText"/>
        <w:rPr>
          <w:lang w:val="en-NZ"/>
        </w:rPr>
      </w:pPr>
      <w:r>
        <w:rPr>
          <w:rStyle w:val="FootnoteReference"/>
        </w:rPr>
        <w:footnoteRef/>
      </w:r>
      <w:r>
        <w:t xml:space="preserve"> </w:t>
      </w:r>
      <w:r>
        <w:rPr>
          <w:lang w:val="en-NZ"/>
        </w:rPr>
        <w:t xml:space="preserve">CAC v </w:t>
      </w:r>
      <w:r w:rsidRPr="00671084">
        <w:rPr>
          <w:i/>
          <w:iCs/>
          <w:lang w:val="en-NZ"/>
        </w:rPr>
        <w:t>Teacher</w:t>
      </w:r>
      <w:r>
        <w:rPr>
          <w:lang w:val="en-NZ"/>
        </w:rPr>
        <w:t xml:space="preserve"> NZTDT 2016/55, 2 November 2016</w:t>
      </w:r>
      <w:r w:rsidR="0019532A">
        <w:rPr>
          <w:lang w:val="en-NZ"/>
        </w:rPr>
        <w:t>.</w:t>
      </w:r>
    </w:p>
  </w:footnote>
  <w:footnote w:id="29">
    <w:p w14:paraId="040E53D6" w14:textId="42D7FC18" w:rsidR="00543235" w:rsidRPr="00543235" w:rsidRDefault="00543235" w:rsidP="009221F6">
      <w:pPr>
        <w:pStyle w:val="FootnoteText"/>
        <w:ind w:left="142" w:hanging="142"/>
        <w:rPr>
          <w:lang w:val="en-NZ"/>
        </w:rPr>
      </w:pPr>
      <w:r>
        <w:rPr>
          <w:rStyle w:val="FootnoteReference"/>
        </w:rPr>
        <w:footnoteRef/>
      </w:r>
      <w:r>
        <w:t xml:space="preserve"> </w:t>
      </w:r>
      <w:r>
        <w:rPr>
          <w:lang w:val="en-NZ"/>
        </w:rPr>
        <w:t>Supervision Expectations for Registered Social Workers, Policy Statement, SWRB.</w:t>
      </w:r>
      <w:r w:rsidR="00E14C45">
        <w:rPr>
          <w:lang w:val="en-NZ"/>
        </w:rPr>
        <w:t xml:space="preserve"> A copy of this Policy Statement was not produced to the Tribunal.</w:t>
      </w:r>
    </w:p>
  </w:footnote>
  <w:footnote w:id="30">
    <w:p w14:paraId="606035A2" w14:textId="3C86530E" w:rsidR="00F32AFC" w:rsidRPr="00F45277" w:rsidRDefault="00F32AFC" w:rsidP="009221F6">
      <w:pPr>
        <w:pStyle w:val="FootnoteText"/>
        <w:ind w:left="142" w:hanging="142"/>
        <w:rPr>
          <w:lang w:val="en-NZ"/>
        </w:rPr>
      </w:pPr>
      <w:r>
        <w:rPr>
          <w:rStyle w:val="FootnoteReference"/>
        </w:rPr>
        <w:footnoteRef/>
      </w:r>
      <w:r>
        <w:t xml:space="preserve"> </w:t>
      </w:r>
      <w:r w:rsidR="00D62C6C">
        <w:rPr>
          <w:lang w:val="en-NZ"/>
        </w:rPr>
        <w:t xml:space="preserve">Referred to in </w:t>
      </w:r>
      <w:r w:rsidR="00D62C6C">
        <w:rPr>
          <w:i/>
          <w:iCs/>
          <w:lang w:val="en-NZ"/>
        </w:rPr>
        <w:t xml:space="preserve">Patel v Dentists Disciplinary Tribunal </w:t>
      </w:r>
      <w:r w:rsidR="00D62C6C" w:rsidRPr="00F45277">
        <w:rPr>
          <w:lang w:val="en-NZ"/>
        </w:rPr>
        <w:t>(High Court, Auckland, AP77/02, 8 October 2002</w:t>
      </w:r>
      <w:r w:rsidR="00F45277">
        <w:rPr>
          <w:lang w:val="en-NZ"/>
        </w:rPr>
        <w:t xml:space="preserve">, </w:t>
      </w:r>
      <w:proofErr w:type="spellStart"/>
      <w:r w:rsidR="00F45277">
        <w:rPr>
          <w:lang w:val="en-NZ"/>
        </w:rPr>
        <w:t>Randerson</w:t>
      </w:r>
      <w:proofErr w:type="spellEnd"/>
      <w:r w:rsidR="00F45277">
        <w:rPr>
          <w:lang w:val="en-NZ"/>
        </w:rPr>
        <w:t xml:space="preserve"> J</w:t>
      </w:r>
      <w:r w:rsidR="00D62C6C" w:rsidRPr="00F45277">
        <w:rPr>
          <w:lang w:val="en-NZ"/>
        </w:rPr>
        <w:t>) at [</w:t>
      </w:r>
      <w:r w:rsidR="00F45277" w:rsidRPr="00F45277">
        <w:rPr>
          <w:lang w:val="en-NZ"/>
        </w:rPr>
        <w:t>31]</w:t>
      </w:r>
    </w:p>
  </w:footnote>
  <w:footnote w:id="31">
    <w:p w14:paraId="1FD69EC8" w14:textId="354E4DBA" w:rsidR="00285939" w:rsidRDefault="00285939" w:rsidP="009221F6">
      <w:pPr>
        <w:pStyle w:val="FootnoteText"/>
        <w:ind w:left="142" w:hanging="142"/>
      </w:pPr>
      <w:r>
        <w:rPr>
          <w:rStyle w:val="FootnoteReference"/>
        </w:rPr>
        <w:footnoteRef/>
      </w:r>
      <w:r>
        <w:t xml:space="preserve"> </w:t>
      </w:r>
      <w:r>
        <w:rPr>
          <w:i/>
          <w:iCs/>
          <w:lang w:val="en-NZ"/>
        </w:rPr>
        <w:t xml:space="preserve">Cooray v Preliminary Proceedings Committee </w:t>
      </w:r>
      <w:r>
        <w:rPr>
          <w:lang w:val="en-NZ"/>
        </w:rPr>
        <w:t xml:space="preserve">AP23/94, 14 September 1995, </w:t>
      </w:r>
      <w:proofErr w:type="spellStart"/>
      <w:r>
        <w:rPr>
          <w:lang w:val="en-NZ"/>
        </w:rPr>
        <w:t>Doogue</w:t>
      </w:r>
      <w:proofErr w:type="spellEnd"/>
      <w:r>
        <w:rPr>
          <w:lang w:val="en-NZ"/>
        </w:rPr>
        <w:t xml:space="preserve"> J; </w:t>
      </w:r>
      <w:proofErr w:type="spellStart"/>
      <w:r>
        <w:rPr>
          <w:i/>
          <w:iCs/>
          <w:lang w:val="en-NZ"/>
        </w:rPr>
        <w:t>Vatsyayann</w:t>
      </w:r>
      <w:proofErr w:type="spellEnd"/>
      <w:r>
        <w:rPr>
          <w:i/>
          <w:iCs/>
          <w:lang w:val="en-NZ"/>
        </w:rPr>
        <w:t xml:space="preserve"> v PCC </w:t>
      </w:r>
      <w:r>
        <w:rPr>
          <w:lang w:val="en-NZ"/>
        </w:rPr>
        <w:t>[2012] NZHC 1138</w:t>
      </w:r>
      <w:r w:rsidR="00307699">
        <w:rPr>
          <w:lang w:val="en-NZ"/>
        </w:rPr>
        <w:t>, Priestley J</w:t>
      </w:r>
      <w:r w:rsidR="00B146AF">
        <w:rPr>
          <w:lang w:val="en-NZ"/>
        </w:rPr>
        <w:t xml:space="preserve"> at [34]</w:t>
      </w:r>
      <w:r w:rsidR="00307699">
        <w:rPr>
          <w:lang w:val="en-NZ"/>
        </w:rPr>
        <w:t>.</w:t>
      </w:r>
    </w:p>
  </w:footnote>
  <w:footnote w:id="32">
    <w:p w14:paraId="4A3F1DA2" w14:textId="72AA502B" w:rsidR="00A6654B" w:rsidRPr="00A6654B" w:rsidRDefault="00A6654B">
      <w:pPr>
        <w:pStyle w:val="FootnoteText"/>
        <w:rPr>
          <w:lang w:val="en-NZ"/>
        </w:rPr>
      </w:pPr>
      <w:r>
        <w:rPr>
          <w:rStyle w:val="FootnoteReference"/>
        </w:rPr>
        <w:footnoteRef/>
      </w:r>
      <w:r>
        <w:t xml:space="preserve"> </w:t>
      </w:r>
      <w:r w:rsidR="006F60C9">
        <w:t xml:space="preserve">As advised by Counsel for the PCC. </w:t>
      </w:r>
      <w:r w:rsidR="0066798D">
        <w:t xml:space="preserve">See also </w:t>
      </w:r>
      <w:r w:rsidRPr="00A6654B">
        <w:rPr>
          <w:i/>
          <w:iCs/>
          <w:lang w:val="en-NZ"/>
        </w:rPr>
        <w:t>A v R</w:t>
      </w:r>
      <w:r>
        <w:rPr>
          <w:lang w:val="en-NZ"/>
        </w:rPr>
        <w:t xml:space="preserve"> [2019] NZHC 3412, per Woolford J</w:t>
      </w:r>
      <w:r w:rsidR="0066798D">
        <w:rPr>
          <w:lang w:val="en-NZ"/>
        </w:rPr>
        <w:t>.</w:t>
      </w:r>
    </w:p>
  </w:footnote>
  <w:footnote w:id="33">
    <w:p w14:paraId="7ABF7E96" w14:textId="33D60913" w:rsidR="00532D32" w:rsidRPr="00987192" w:rsidRDefault="00532D32">
      <w:pPr>
        <w:pStyle w:val="FootnoteText"/>
        <w:rPr>
          <w:lang w:val="en-NZ"/>
        </w:rPr>
      </w:pPr>
      <w:r>
        <w:rPr>
          <w:rStyle w:val="FootnoteReference"/>
        </w:rPr>
        <w:footnoteRef/>
      </w:r>
      <w:r>
        <w:t xml:space="preserve"> </w:t>
      </w:r>
      <w:r>
        <w:rPr>
          <w:lang w:val="en-NZ"/>
        </w:rPr>
        <w:t xml:space="preserve">Above, </w:t>
      </w:r>
      <w:r>
        <w:rPr>
          <w:i/>
          <w:iCs/>
          <w:lang w:val="en-NZ"/>
        </w:rPr>
        <w:t>A v R</w:t>
      </w:r>
      <w:r w:rsidR="00987192">
        <w:rPr>
          <w:lang w:val="en-NZ"/>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5A9A6" w14:textId="77777777" w:rsidR="009221F6" w:rsidRPr="00DB565D" w:rsidRDefault="009221F6" w:rsidP="009221F6">
    <w:pPr>
      <w:spacing w:after="120"/>
      <w:ind w:left="-1077" w:firstLine="1077"/>
      <w:rPr>
        <w:rFonts w:ascii="Arial Narrow" w:hAnsi="Arial Narrow" w:cs="Calibri"/>
        <w:b/>
        <w:color w:val="0070C0"/>
        <w:szCs w:val="24"/>
      </w:rPr>
    </w:pPr>
    <w:r w:rsidRPr="00DB565D">
      <w:rPr>
        <w:rFonts w:ascii="Arial Narrow" w:hAnsi="Arial Narrow" w:cs="Calibri"/>
        <w:b/>
        <w:color w:val="0070C0"/>
        <w:sz w:val="32"/>
        <w:szCs w:val="32"/>
      </w:rPr>
      <w:t>Social Workers Complaints and Disciplinary Tribunal</w:t>
    </w:r>
  </w:p>
  <w:p w14:paraId="5D1A20F1" w14:textId="77777777" w:rsidR="009221F6" w:rsidRPr="00DB565D" w:rsidRDefault="009221F6" w:rsidP="009221F6">
    <w:pPr>
      <w:spacing w:after="120"/>
      <w:ind w:left="-1077" w:firstLine="1077"/>
      <w:rPr>
        <w:rFonts w:ascii="Arial Narrow" w:hAnsi="Arial Narrow" w:cs="Calibri"/>
        <w:color w:val="0070C0"/>
      </w:rPr>
    </w:pPr>
    <w:r w:rsidRPr="00DB565D">
      <w:rPr>
        <w:rFonts w:ascii="Arial Narrow" w:hAnsi="Arial Narrow" w:cs="Calibri"/>
        <w:b/>
        <w:color w:val="0070C0"/>
        <w:szCs w:val="24"/>
      </w:rPr>
      <w:t>Social Workers Registration Act 2003</w:t>
    </w:r>
  </w:p>
  <w:p w14:paraId="1B998DDC" w14:textId="77777777" w:rsidR="009221F6" w:rsidRDefault="009221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D8574" w14:textId="77777777" w:rsidR="009221F6" w:rsidRPr="009221F6" w:rsidRDefault="009221F6" w:rsidP="009221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922CAE"/>
    <w:multiLevelType w:val="hybridMultilevel"/>
    <w:tmpl w:val="F29866FC"/>
    <w:lvl w:ilvl="0" w:tplc="FB7690AA">
      <w:start w:val="1"/>
      <w:numFmt w:val="decimal"/>
      <w:lvlText w:val="%1."/>
      <w:lvlJc w:val="left"/>
      <w:pPr>
        <w:ind w:left="720" w:hanging="360"/>
      </w:pPr>
      <w:rPr>
        <w:b/>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 w15:restartNumberingAfterBreak="0">
    <w:nsid w:val="4B8D36C2"/>
    <w:multiLevelType w:val="hybridMultilevel"/>
    <w:tmpl w:val="7054D5F8"/>
    <w:lvl w:ilvl="0" w:tplc="1409000F">
      <w:start w:val="1"/>
      <w:numFmt w:val="decimal"/>
      <w:lvlText w:val="%1."/>
      <w:lvlJc w:val="left"/>
      <w:pPr>
        <w:ind w:left="1440" w:hanging="360"/>
      </w:pPr>
    </w:lvl>
    <w:lvl w:ilvl="1" w:tplc="14090001">
      <w:start w:val="1"/>
      <w:numFmt w:val="bullet"/>
      <w:lvlText w:val=""/>
      <w:lvlJc w:val="left"/>
      <w:pPr>
        <w:ind w:left="2160" w:hanging="360"/>
      </w:pPr>
      <w:rPr>
        <w:rFonts w:ascii="Symbol" w:hAnsi="Symbol" w:hint="default"/>
      </w:rPr>
    </w:lvl>
    <w:lvl w:ilvl="2" w:tplc="1409001B">
      <w:start w:val="1"/>
      <w:numFmt w:val="lowerRoman"/>
      <w:lvlText w:val="%3."/>
      <w:lvlJc w:val="right"/>
      <w:pPr>
        <w:ind w:left="2880" w:hanging="180"/>
      </w:pPr>
      <w:rPr>
        <w:rFonts w:cs="Times New Roman"/>
      </w:rPr>
    </w:lvl>
    <w:lvl w:ilvl="3" w:tplc="1409000F">
      <w:start w:val="1"/>
      <w:numFmt w:val="decimal"/>
      <w:lvlText w:val="%4."/>
      <w:lvlJc w:val="left"/>
      <w:pPr>
        <w:ind w:left="3600" w:hanging="360"/>
      </w:pPr>
      <w:rPr>
        <w:rFonts w:cs="Times New Roman"/>
      </w:rPr>
    </w:lvl>
    <w:lvl w:ilvl="4" w:tplc="14090019">
      <w:start w:val="1"/>
      <w:numFmt w:val="lowerLetter"/>
      <w:lvlText w:val="%5."/>
      <w:lvlJc w:val="left"/>
      <w:pPr>
        <w:ind w:left="4320" w:hanging="360"/>
      </w:pPr>
      <w:rPr>
        <w:rFonts w:cs="Times New Roman"/>
      </w:rPr>
    </w:lvl>
    <w:lvl w:ilvl="5" w:tplc="1409001B">
      <w:start w:val="1"/>
      <w:numFmt w:val="lowerRoman"/>
      <w:lvlText w:val="%6."/>
      <w:lvlJc w:val="right"/>
      <w:pPr>
        <w:ind w:left="5040" w:hanging="180"/>
      </w:pPr>
      <w:rPr>
        <w:rFonts w:cs="Times New Roman"/>
      </w:rPr>
    </w:lvl>
    <w:lvl w:ilvl="6" w:tplc="1409000F">
      <w:start w:val="1"/>
      <w:numFmt w:val="decimal"/>
      <w:lvlText w:val="%7."/>
      <w:lvlJc w:val="left"/>
      <w:pPr>
        <w:ind w:left="5760" w:hanging="360"/>
      </w:pPr>
      <w:rPr>
        <w:rFonts w:cs="Times New Roman"/>
      </w:rPr>
    </w:lvl>
    <w:lvl w:ilvl="7" w:tplc="14090019">
      <w:start w:val="1"/>
      <w:numFmt w:val="lowerLetter"/>
      <w:lvlText w:val="%8."/>
      <w:lvlJc w:val="left"/>
      <w:pPr>
        <w:ind w:left="6480" w:hanging="360"/>
      </w:pPr>
      <w:rPr>
        <w:rFonts w:cs="Times New Roman"/>
      </w:rPr>
    </w:lvl>
    <w:lvl w:ilvl="8" w:tplc="1409001B">
      <w:start w:val="1"/>
      <w:numFmt w:val="lowerRoman"/>
      <w:lvlText w:val="%9."/>
      <w:lvlJc w:val="right"/>
      <w:pPr>
        <w:ind w:left="7200" w:hanging="180"/>
      </w:pPr>
      <w:rPr>
        <w:rFonts w:cs="Times New Roman"/>
      </w:rPr>
    </w:lvl>
  </w:abstractNum>
  <w:abstractNum w:abstractNumId="2" w15:restartNumberingAfterBreak="0">
    <w:nsid w:val="65A66BC4"/>
    <w:multiLevelType w:val="hybridMultilevel"/>
    <w:tmpl w:val="7D966B24"/>
    <w:lvl w:ilvl="0" w:tplc="DF542226">
      <w:start w:val="1"/>
      <w:numFmt w:val="decimal"/>
      <w:lvlText w:val="%1"/>
      <w:lvlJc w:val="left"/>
      <w:pPr>
        <w:ind w:left="1437" w:hanging="870"/>
      </w:pPr>
      <w:rPr>
        <w:rFonts w:cs="Times New Roman" w:hint="default"/>
      </w:rPr>
    </w:lvl>
    <w:lvl w:ilvl="1" w:tplc="14090019">
      <w:start w:val="1"/>
      <w:numFmt w:val="lowerLetter"/>
      <w:lvlText w:val="%2."/>
      <w:lvlJc w:val="left"/>
      <w:pPr>
        <w:ind w:left="1647" w:hanging="360"/>
      </w:pPr>
      <w:rPr>
        <w:rFonts w:cs="Times New Roman"/>
      </w:rPr>
    </w:lvl>
    <w:lvl w:ilvl="2" w:tplc="1409001B">
      <w:start w:val="1"/>
      <w:numFmt w:val="lowerRoman"/>
      <w:lvlText w:val="%3."/>
      <w:lvlJc w:val="right"/>
      <w:pPr>
        <w:ind w:left="2367" w:hanging="180"/>
      </w:pPr>
      <w:rPr>
        <w:rFonts w:cs="Times New Roman"/>
      </w:rPr>
    </w:lvl>
    <w:lvl w:ilvl="3" w:tplc="B5A4F12C">
      <w:start w:val="2"/>
      <w:numFmt w:val="lowerRoman"/>
      <w:lvlText w:val="(%4)"/>
      <w:lvlJc w:val="left"/>
      <w:pPr>
        <w:ind w:left="3447" w:hanging="720"/>
      </w:pPr>
      <w:rPr>
        <w:rFonts w:hint="default"/>
      </w:rPr>
    </w:lvl>
    <w:lvl w:ilvl="4" w:tplc="14090019" w:tentative="1">
      <w:start w:val="1"/>
      <w:numFmt w:val="lowerLetter"/>
      <w:lvlText w:val="%5."/>
      <w:lvlJc w:val="left"/>
      <w:pPr>
        <w:ind w:left="3807" w:hanging="360"/>
      </w:pPr>
      <w:rPr>
        <w:rFonts w:cs="Times New Roman"/>
      </w:rPr>
    </w:lvl>
    <w:lvl w:ilvl="5" w:tplc="1409001B" w:tentative="1">
      <w:start w:val="1"/>
      <w:numFmt w:val="lowerRoman"/>
      <w:lvlText w:val="%6."/>
      <w:lvlJc w:val="right"/>
      <w:pPr>
        <w:ind w:left="4527" w:hanging="180"/>
      </w:pPr>
      <w:rPr>
        <w:rFonts w:cs="Times New Roman"/>
      </w:rPr>
    </w:lvl>
    <w:lvl w:ilvl="6" w:tplc="1409000F" w:tentative="1">
      <w:start w:val="1"/>
      <w:numFmt w:val="decimal"/>
      <w:lvlText w:val="%7."/>
      <w:lvlJc w:val="left"/>
      <w:pPr>
        <w:ind w:left="5247" w:hanging="360"/>
      </w:pPr>
      <w:rPr>
        <w:rFonts w:cs="Times New Roman"/>
      </w:rPr>
    </w:lvl>
    <w:lvl w:ilvl="7" w:tplc="14090019" w:tentative="1">
      <w:start w:val="1"/>
      <w:numFmt w:val="lowerLetter"/>
      <w:lvlText w:val="%8."/>
      <w:lvlJc w:val="left"/>
      <w:pPr>
        <w:ind w:left="5967" w:hanging="360"/>
      </w:pPr>
      <w:rPr>
        <w:rFonts w:cs="Times New Roman"/>
      </w:rPr>
    </w:lvl>
    <w:lvl w:ilvl="8" w:tplc="1409001B" w:tentative="1">
      <w:start w:val="1"/>
      <w:numFmt w:val="lowerRoman"/>
      <w:lvlText w:val="%9."/>
      <w:lvlJc w:val="right"/>
      <w:pPr>
        <w:ind w:left="6687"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939"/>
    <w:rsid w:val="00003A36"/>
    <w:rsid w:val="000075F8"/>
    <w:rsid w:val="00021AF2"/>
    <w:rsid w:val="00035B18"/>
    <w:rsid w:val="00036796"/>
    <w:rsid w:val="000370D4"/>
    <w:rsid w:val="00037D7A"/>
    <w:rsid w:val="000428D6"/>
    <w:rsid w:val="00042C46"/>
    <w:rsid w:val="00050F8C"/>
    <w:rsid w:val="00057B30"/>
    <w:rsid w:val="00065938"/>
    <w:rsid w:val="0007133D"/>
    <w:rsid w:val="00071A83"/>
    <w:rsid w:val="00072704"/>
    <w:rsid w:val="0007769D"/>
    <w:rsid w:val="00082455"/>
    <w:rsid w:val="000861FA"/>
    <w:rsid w:val="00086282"/>
    <w:rsid w:val="000914A9"/>
    <w:rsid w:val="00094595"/>
    <w:rsid w:val="0009601C"/>
    <w:rsid w:val="000A1D5A"/>
    <w:rsid w:val="000A436A"/>
    <w:rsid w:val="000B0B32"/>
    <w:rsid w:val="000B2D0F"/>
    <w:rsid w:val="000B6640"/>
    <w:rsid w:val="000C0AB8"/>
    <w:rsid w:val="000C457C"/>
    <w:rsid w:val="000C4B84"/>
    <w:rsid w:val="000C7143"/>
    <w:rsid w:val="000D4A19"/>
    <w:rsid w:val="000E1D63"/>
    <w:rsid w:val="000E2ADF"/>
    <w:rsid w:val="000E7B62"/>
    <w:rsid w:val="000F2E4A"/>
    <w:rsid w:val="00101867"/>
    <w:rsid w:val="00105437"/>
    <w:rsid w:val="0011089A"/>
    <w:rsid w:val="001123C1"/>
    <w:rsid w:val="00112B1A"/>
    <w:rsid w:val="001139C3"/>
    <w:rsid w:val="00115DFC"/>
    <w:rsid w:val="00117184"/>
    <w:rsid w:val="00121A3C"/>
    <w:rsid w:val="00131DEA"/>
    <w:rsid w:val="00134264"/>
    <w:rsid w:val="0013483F"/>
    <w:rsid w:val="00136EEB"/>
    <w:rsid w:val="001379DA"/>
    <w:rsid w:val="00137F39"/>
    <w:rsid w:val="0014417E"/>
    <w:rsid w:val="00147C71"/>
    <w:rsid w:val="001508E7"/>
    <w:rsid w:val="00150D3C"/>
    <w:rsid w:val="00153998"/>
    <w:rsid w:val="00155905"/>
    <w:rsid w:val="001578F6"/>
    <w:rsid w:val="00157B4F"/>
    <w:rsid w:val="00160606"/>
    <w:rsid w:val="0016096E"/>
    <w:rsid w:val="00161302"/>
    <w:rsid w:val="00165CB7"/>
    <w:rsid w:val="00171F3F"/>
    <w:rsid w:val="00186D77"/>
    <w:rsid w:val="00192532"/>
    <w:rsid w:val="001928F9"/>
    <w:rsid w:val="0019532A"/>
    <w:rsid w:val="00196287"/>
    <w:rsid w:val="001A1D65"/>
    <w:rsid w:val="001A4BE1"/>
    <w:rsid w:val="001C72DB"/>
    <w:rsid w:val="001C7598"/>
    <w:rsid w:val="001C7C4C"/>
    <w:rsid w:val="001D5F52"/>
    <w:rsid w:val="001E1BA0"/>
    <w:rsid w:val="001E2D06"/>
    <w:rsid w:val="001E4450"/>
    <w:rsid w:val="001E69A1"/>
    <w:rsid w:val="001F0992"/>
    <w:rsid w:val="001F2E7F"/>
    <w:rsid w:val="0020074F"/>
    <w:rsid w:val="00200753"/>
    <w:rsid w:val="002013D6"/>
    <w:rsid w:val="00206A80"/>
    <w:rsid w:val="00207ADA"/>
    <w:rsid w:val="00212CF4"/>
    <w:rsid w:val="00216262"/>
    <w:rsid w:val="0022267E"/>
    <w:rsid w:val="0022478C"/>
    <w:rsid w:val="00227DF1"/>
    <w:rsid w:val="00235D75"/>
    <w:rsid w:val="00243399"/>
    <w:rsid w:val="002460B6"/>
    <w:rsid w:val="00251F3B"/>
    <w:rsid w:val="0025685A"/>
    <w:rsid w:val="002568F7"/>
    <w:rsid w:val="0026089C"/>
    <w:rsid w:val="00260E3A"/>
    <w:rsid w:val="0026341D"/>
    <w:rsid w:val="00270D02"/>
    <w:rsid w:val="00273B99"/>
    <w:rsid w:val="00282C64"/>
    <w:rsid w:val="00285618"/>
    <w:rsid w:val="00285939"/>
    <w:rsid w:val="00291E1A"/>
    <w:rsid w:val="002B0B44"/>
    <w:rsid w:val="002B6AC3"/>
    <w:rsid w:val="002C0608"/>
    <w:rsid w:val="002C0AFE"/>
    <w:rsid w:val="002D0964"/>
    <w:rsid w:val="002D275D"/>
    <w:rsid w:val="002D3026"/>
    <w:rsid w:val="002E342F"/>
    <w:rsid w:val="002E46E5"/>
    <w:rsid w:val="002F189F"/>
    <w:rsid w:val="002F41C9"/>
    <w:rsid w:val="002F4AA4"/>
    <w:rsid w:val="003055C1"/>
    <w:rsid w:val="003063A0"/>
    <w:rsid w:val="00307699"/>
    <w:rsid w:val="00310115"/>
    <w:rsid w:val="0031082F"/>
    <w:rsid w:val="00310AD7"/>
    <w:rsid w:val="003113C0"/>
    <w:rsid w:val="003115E0"/>
    <w:rsid w:val="00323E47"/>
    <w:rsid w:val="003240BC"/>
    <w:rsid w:val="00326312"/>
    <w:rsid w:val="003321F4"/>
    <w:rsid w:val="00332FA9"/>
    <w:rsid w:val="003372D7"/>
    <w:rsid w:val="00344693"/>
    <w:rsid w:val="00346BFC"/>
    <w:rsid w:val="00347249"/>
    <w:rsid w:val="00350344"/>
    <w:rsid w:val="003504C5"/>
    <w:rsid w:val="00352108"/>
    <w:rsid w:val="0036339B"/>
    <w:rsid w:val="0037130B"/>
    <w:rsid w:val="00373D7E"/>
    <w:rsid w:val="003747A6"/>
    <w:rsid w:val="00382AA7"/>
    <w:rsid w:val="0038449B"/>
    <w:rsid w:val="003854B8"/>
    <w:rsid w:val="0038749C"/>
    <w:rsid w:val="003909BB"/>
    <w:rsid w:val="003931E4"/>
    <w:rsid w:val="00393C22"/>
    <w:rsid w:val="00397EA5"/>
    <w:rsid w:val="003A23E2"/>
    <w:rsid w:val="003A2600"/>
    <w:rsid w:val="003B6159"/>
    <w:rsid w:val="003B66EC"/>
    <w:rsid w:val="003C3380"/>
    <w:rsid w:val="003C50F3"/>
    <w:rsid w:val="003D3664"/>
    <w:rsid w:val="003D5285"/>
    <w:rsid w:val="003D783E"/>
    <w:rsid w:val="003D7E75"/>
    <w:rsid w:val="003E00F1"/>
    <w:rsid w:val="003E0E80"/>
    <w:rsid w:val="003E424D"/>
    <w:rsid w:val="003E6BC0"/>
    <w:rsid w:val="003F00CD"/>
    <w:rsid w:val="003F14D2"/>
    <w:rsid w:val="003F31A7"/>
    <w:rsid w:val="00402CAE"/>
    <w:rsid w:val="004054C2"/>
    <w:rsid w:val="004068EF"/>
    <w:rsid w:val="0042372A"/>
    <w:rsid w:val="004342B1"/>
    <w:rsid w:val="00434E89"/>
    <w:rsid w:val="004409DC"/>
    <w:rsid w:val="00440AD0"/>
    <w:rsid w:val="004510EE"/>
    <w:rsid w:val="004537BE"/>
    <w:rsid w:val="004638FD"/>
    <w:rsid w:val="00466F27"/>
    <w:rsid w:val="00475AF6"/>
    <w:rsid w:val="00475E36"/>
    <w:rsid w:val="0049729D"/>
    <w:rsid w:val="004A5D1E"/>
    <w:rsid w:val="004A7227"/>
    <w:rsid w:val="004B0FD5"/>
    <w:rsid w:val="004B1B29"/>
    <w:rsid w:val="004B4560"/>
    <w:rsid w:val="004B5ADC"/>
    <w:rsid w:val="004C0C0D"/>
    <w:rsid w:val="004C5407"/>
    <w:rsid w:val="004C55B0"/>
    <w:rsid w:val="004D037C"/>
    <w:rsid w:val="004D2053"/>
    <w:rsid w:val="004D5CAB"/>
    <w:rsid w:val="004D762A"/>
    <w:rsid w:val="004E1A14"/>
    <w:rsid w:val="004E617E"/>
    <w:rsid w:val="004F0544"/>
    <w:rsid w:val="00500342"/>
    <w:rsid w:val="00503028"/>
    <w:rsid w:val="00503BB4"/>
    <w:rsid w:val="00506434"/>
    <w:rsid w:val="00506E92"/>
    <w:rsid w:val="00514228"/>
    <w:rsid w:val="00516A78"/>
    <w:rsid w:val="00517251"/>
    <w:rsid w:val="0052173E"/>
    <w:rsid w:val="00525277"/>
    <w:rsid w:val="00527AD0"/>
    <w:rsid w:val="00532D32"/>
    <w:rsid w:val="005357B0"/>
    <w:rsid w:val="005357D5"/>
    <w:rsid w:val="00537456"/>
    <w:rsid w:val="00537977"/>
    <w:rsid w:val="00541F23"/>
    <w:rsid w:val="005427EB"/>
    <w:rsid w:val="00543235"/>
    <w:rsid w:val="00550ADD"/>
    <w:rsid w:val="00551876"/>
    <w:rsid w:val="0055722B"/>
    <w:rsid w:val="00563786"/>
    <w:rsid w:val="00567005"/>
    <w:rsid w:val="00573C66"/>
    <w:rsid w:val="00576326"/>
    <w:rsid w:val="0057741E"/>
    <w:rsid w:val="0058182D"/>
    <w:rsid w:val="005821DB"/>
    <w:rsid w:val="0059403C"/>
    <w:rsid w:val="00596A17"/>
    <w:rsid w:val="00597409"/>
    <w:rsid w:val="005A46B5"/>
    <w:rsid w:val="005B1083"/>
    <w:rsid w:val="005C3E14"/>
    <w:rsid w:val="005C7DE8"/>
    <w:rsid w:val="005C7E2E"/>
    <w:rsid w:val="005D04E2"/>
    <w:rsid w:val="005D36D8"/>
    <w:rsid w:val="005E12A5"/>
    <w:rsid w:val="005E1744"/>
    <w:rsid w:val="005E1CB9"/>
    <w:rsid w:val="005E41E3"/>
    <w:rsid w:val="005F700A"/>
    <w:rsid w:val="005F7657"/>
    <w:rsid w:val="005F7EFA"/>
    <w:rsid w:val="00610EAE"/>
    <w:rsid w:val="006117BF"/>
    <w:rsid w:val="0062139B"/>
    <w:rsid w:val="006260D9"/>
    <w:rsid w:val="006359E8"/>
    <w:rsid w:val="006369F6"/>
    <w:rsid w:val="00644F9D"/>
    <w:rsid w:val="006453EA"/>
    <w:rsid w:val="00655B5A"/>
    <w:rsid w:val="006568EE"/>
    <w:rsid w:val="006678B6"/>
    <w:rsid w:val="0066798D"/>
    <w:rsid w:val="00671084"/>
    <w:rsid w:val="0067226A"/>
    <w:rsid w:val="00676EF7"/>
    <w:rsid w:val="0068315E"/>
    <w:rsid w:val="00695D6E"/>
    <w:rsid w:val="00696508"/>
    <w:rsid w:val="006A3558"/>
    <w:rsid w:val="006A6729"/>
    <w:rsid w:val="006A6ED4"/>
    <w:rsid w:val="006B4BB7"/>
    <w:rsid w:val="006B6E13"/>
    <w:rsid w:val="006C004B"/>
    <w:rsid w:val="006C0F59"/>
    <w:rsid w:val="006C2267"/>
    <w:rsid w:val="006C35A3"/>
    <w:rsid w:val="006C3E4B"/>
    <w:rsid w:val="006C3FEC"/>
    <w:rsid w:val="006D1B35"/>
    <w:rsid w:val="006D1F23"/>
    <w:rsid w:val="006D50DC"/>
    <w:rsid w:val="006D5FB1"/>
    <w:rsid w:val="006D715C"/>
    <w:rsid w:val="006E3A95"/>
    <w:rsid w:val="006E5C1B"/>
    <w:rsid w:val="006E5D96"/>
    <w:rsid w:val="006E68D8"/>
    <w:rsid w:val="006E7F31"/>
    <w:rsid w:val="006F3685"/>
    <w:rsid w:val="006F48F0"/>
    <w:rsid w:val="006F60C9"/>
    <w:rsid w:val="00710105"/>
    <w:rsid w:val="00710815"/>
    <w:rsid w:val="00712E72"/>
    <w:rsid w:val="0072411C"/>
    <w:rsid w:val="00725C98"/>
    <w:rsid w:val="00726FF8"/>
    <w:rsid w:val="00727CA1"/>
    <w:rsid w:val="00741B0D"/>
    <w:rsid w:val="00745E09"/>
    <w:rsid w:val="00755020"/>
    <w:rsid w:val="007762E7"/>
    <w:rsid w:val="007860C5"/>
    <w:rsid w:val="00790F80"/>
    <w:rsid w:val="007940D1"/>
    <w:rsid w:val="00794523"/>
    <w:rsid w:val="0079764C"/>
    <w:rsid w:val="007B27FA"/>
    <w:rsid w:val="007B6F27"/>
    <w:rsid w:val="007C036A"/>
    <w:rsid w:val="007C5872"/>
    <w:rsid w:val="007D0BAB"/>
    <w:rsid w:val="007D747D"/>
    <w:rsid w:val="007E73E4"/>
    <w:rsid w:val="007F1652"/>
    <w:rsid w:val="007F2667"/>
    <w:rsid w:val="007F4C26"/>
    <w:rsid w:val="007F7005"/>
    <w:rsid w:val="007F7E5E"/>
    <w:rsid w:val="007F7F9E"/>
    <w:rsid w:val="00803062"/>
    <w:rsid w:val="008118F9"/>
    <w:rsid w:val="008140E6"/>
    <w:rsid w:val="00814968"/>
    <w:rsid w:val="00827FF7"/>
    <w:rsid w:val="0083083A"/>
    <w:rsid w:val="00830EAB"/>
    <w:rsid w:val="00844331"/>
    <w:rsid w:val="00853B30"/>
    <w:rsid w:val="0085657D"/>
    <w:rsid w:val="008617F2"/>
    <w:rsid w:val="00871FB4"/>
    <w:rsid w:val="00877C30"/>
    <w:rsid w:val="00883DB7"/>
    <w:rsid w:val="0089135E"/>
    <w:rsid w:val="008930AE"/>
    <w:rsid w:val="008B3797"/>
    <w:rsid w:val="008B69AA"/>
    <w:rsid w:val="008C10A8"/>
    <w:rsid w:val="008C171D"/>
    <w:rsid w:val="008C2AB7"/>
    <w:rsid w:val="008D1B96"/>
    <w:rsid w:val="008D667A"/>
    <w:rsid w:val="008D7875"/>
    <w:rsid w:val="008E2964"/>
    <w:rsid w:val="008E3525"/>
    <w:rsid w:val="008E56DC"/>
    <w:rsid w:val="008E6E38"/>
    <w:rsid w:val="008E751F"/>
    <w:rsid w:val="008F22F9"/>
    <w:rsid w:val="008F4C9F"/>
    <w:rsid w:val="0090175E"/>
    <w:rsid w:val="00901B24"/>
    <w:rsid w:val="0090512B"/>
    <w:rsid w:val="00910D40"/>
    <w:rsid w:val="00910FB0"/>
    <w:rsid w:val="0091516C"/>
    <w:rsid w:val="00916D09"/>
    <w:rsid w:val="00920204"/>
    <w:rsid w:val="009221F6"/>
    <w:rsid w:val="0093386D"/>
    <w:rsid w:val="00935BEE"/>
    <w:rsid w:val="00936975"/>
    <w:rsid w:val="0094199F"/>
    <w:rsid w:val="009439E3"/>
    <w:rsid w:val="00945124"/>
    <w:rsid w:val="00955189"/>
    <w:rsid w:val="00956462"/>
    <w:rsid w:val="00957ED2"/>
    <w:rsid w:val="009616B0"/>
    <w:rsid w:val="00961AE0"/>
    <w:rsid w:val="009635FE"/>
    <w:rsid w:val="00973511"/>
    <w:rsid w:val="009759CD"/>
    <w:rsid w:val="00985375"/>
    <w:rsid w:val="00987192"/>
    <w:rsid w:val="009947A7"/>
    <w:rsid w:val="009A0273"/>
    <w:rsid w:val="009A061C"/>
    <w:rsid w:val="009A24EC"/>
    <w:rsid w:val="009A3E14"/>
    <w:rsid w:val="009A580B"/>
    <w:rsid w:val="009B5D97"/>
    <w:rsid w:val="009C03C6"/>
    <w:rsid w:val="009C04DF"/>
    <w:rsid w:val="009C118E"/>
    <w:rsid w:val="009C2546"/>
    <w:rsid w:val="009C4B38"/>
    <w:rsid w:val="009D077E"/>
    <w:rsid w:val="009D2C2A"/>
    <w:rsid w:val="009D3C43"/>
    <w:rsid w:val="009D4F32"/>
    <w:rsid w:val="009E0A1A"/>
    <w:rsid w:val="009E728A"/>
    <w:rsid w:val="00A03E5F"/>
    <w:rsid w:val="00A167C3"/>
    <w:rsid w:val="00A263EF"/>
    <w:rsid w:val="00A3090C"/>
    <w:rsid w:val="00A32764"/>
    <w:rsid w:val="00A3314D"/>
    <w:rsid w:val="00A35AAE"/>
    <w:rsid w:val="00A43816"/>
    <w:rsid w:val="00A43F9B"/>
    <w:rsid w:val="00A441D1"/>
    <w:rsid w:val="00A52AC3"/>
    <w:rsid w:val="00A53F67"/>
    <w:rsid w:val="00A56373"/>
    <w:rsid w:val="00A60383"/>
    <w:rsid w:val="00A60D16"/>
    <w:rsid w:val="00A63404"/>
    <w:rsid w:val="00A6654B"/>
    <w:rsid w:val="00A66818"/>
    <w:rsid w:val="00A80666"/>
    <w:rsid w:val="00A8100E"/>
    <w:rsid w:val="00A83E8B"/>
    <w:rsid w:val="00A9019B"/>
    <w:rsid w:val="00A9428F"/>
    <w:rsid w:val="00A95A0C"/>
    <w:rsid w:val="00A97463"/>
    <w:rsid w:val="00AA591D"/>
    <w:rsid w:val="00AA65A4"/>
    <w:rsid w:val="00AA772F"/>
    <w:rsid w:val="00AB1E64"/>
    <w:rsid w:val="00AC2564"/>
    <w:rsid w:val="00AC2DC6"/>
    <w:rsid w:val="00AC79EC"/>
    <w:rsid w:val="00AD1186"/>
    <w:rsid w:val="00AD386D"/>
    <w:rsid w:val="00AE0F7E"/>
    <w:rsid w:val="00AF2737"/>
    <w:rsid w:val="00AF2893"/>
    <w:rsid w:val="00AF299C"/>
    <w:rsid w:val="00AF29E2"/>
    <w:rsid w:val="00B03337"/>
    <w:rsid w:val="00B05691"/>
    <w:rsid w:val="00B06820"/>
    <w:rsid w:val="00B146AF"/>
    <w:rsid w:val="00B243DC"/>
    <w:rsid w:val="00B32163"/>
    <w:rsid w:val="00B36304"/>
    <w:rsid w:val="00B404B3"/>
    <w:rsid w:val="00B410D9"/>
    <w:rsid w:val="00B47766"/>
    <w:rsid w:val="00B50785"/>
    <w:rsid w:val="00B51772"/>
    <w:rsid w:val="00B52D75"/>
    <w:rsid w:val="00B56B10"/>
    <w:rsid w:val="00B57743"/>
    <w:rsid w:val="00B60F81"/>
    <w:rsid w:val="00B72976"/>
    <w:rsid w:val="00B7300D"/>
    <w:rsid w:val="00B7393B"/>
    <w:rsid w:val="00B73D1C"/>
    <w:rsid w:val="00B74750"/>
    <w:rsid w:val="00B818CF"/>
    <w:rsid w:val="00B84D45"/>
    <w:rsid w:val="00BA202A"/>
    <w:rsid w:val="00BA54DD"/>
    <w:rsid w:val="00BA6EE2"/>
    <w:rsid w:val="00BB2C5A"/>
    <w:rsid w:val="00BB45AA"/>
    <w:rsid w:val="00BB6763"/>
    <w:rsid w:val="00BC07E5"/>
    <w:rsid w:val="00BC61D3"/>
    <w:rsid w:val="00BD35FF"/>
    <w:rsid w:val="00BD3CC5"/>
    <w:rsid w:val="00BD424F"/>
    <w:rsid w:val="00BE152F"/>
    <w:rsid w:val="00BE5478"/>
    <w:rsid w:val="00BE72A6"/>
    <w:rsid w:val="00BE7C31"/>
    <w:rsid w:val="00BF6813"/>
    <w:rsid w:val="00C072B4"/>
    <w:rsid w:val="00C14867"/>
    <w:rsid w:val="00C22732"/>
    <w:rsid w:val="00C443D3"/>
    <w:rsid w:val="00C454C5"/>
    <w:rsid w:val="00C52842"/>
    <w:rsid w:val="00C52CD7"/>
    <w:rsid w:val="00C53627"/>
    <w:rsid w:val="00C54A7D"/>
    <w:rsid w:val="00C557A6"/>
    <w:rsid w:val="00C56C80"/>
    <w:rsid w:val="00C576A4"/>
    <w:rsid w:val="00C60D22"/>
    <w:rsid w:val="00C63807"/>
    <w:rsid w:val="00C640F4"/>
    <w:rsid w:val="00C654BB"/>
    <w:rsid w:val="00C655B3"/>
    <w:rsid w:val="00C838B7"/>
    <w:rsid w:val="00C84197"/>
    <w:rsid w:val="00C86ED3"/>
    <w:rsid w:val="00C95D9D"/>
    <w:rsid w:val="00CA00E6"/>
    <w:rsid w:val="00CA1EEA"/>
    <w:rsid w:val="00CA58FC"/>
    <w:rsid w:val="00CA71FA"/>
    <w:rsid w:val="00CA7F2D"/>
    <w:rsid w:val="00CB2372"/>
    <w:rsid w:val="00CB4BE6"/>
    <w:rsid w:val="00CB5FBB"/>
    <w:rsid w:val="00CB64BA"/>
    <w:rsid w:val="00CC1855"/>
    <w:rsid w:val="00CC39D8"/>
    <w:rsid w:val="00CC430B"/>
    <w:rsid w:val="00CD043E"/>
    <w:rsid w:val="00CD0B0A"/>
    <w:rsid w:val="00CD62AC"/>
    <w:rsid w:val="00CE288C"/>
    <w:rsid w:val="00CE4DA0"/>
    <w:rsid w:val="00CE55F7"/>
    <w:rsid w:val="00CE6FDC"/>
    <w:rsid w:val="00CF4E31"/>
    <w:rsid w:val="00D01DCC"/>
    <w:rsid w:val="00D02C5B"/>
    <w:rsid w:val="00D0479D"/>
    <w:rsid w:val="00D11565"/>
    <w:rsid w:val="00D122BD"/>
    <w:rsid w:val="00D143FB"/>
    <w:rsid w:val="00D1514B"/>
    <w:rsid w:val="00D2332D"/>
    <w:rsid w:val="00D23A92"/>
    <w:rsid w:val="00D258E5"/>
    <w:rsid w:val="00D26F96"/>
    <w:rsid w:val="00D27380"/>
    <w:rsid w:val="00D31B17"/>
    <w:rsid w:val="00D46CBA"/>
    <w:rsid w:val="00D5044C"/>
    <w:rsid w:val="00D52ADB"/>
    <w:rsid w:val="00D577ED"/>
    <w:rsid w:val="00D57F8D"/>
    <w:rsid w:val="00D60639"/>
    <w:rsid w:val="00D62C6C"/>
    <w:rsid w:val="00D6436E"/>
    <w:rsid w:val="00D65154"/>
    <w:rsid w:val="00D73ECE"/>
    <w:rsid w:val="00D80111"/>
    <w:rsid w:val="00D84301"/>
    <w:rsid w:val="00D85A1C"/>
    <w:rsid w:val="00D90631"/>
    <w:rsid w:val="00D94F03"/>
    <w:rsid w:val="00D952E0"/>
    <w:rsid w:val="00D974AA"/>
    <w:rsid w:val="00DA5620"/>
    <w:rsid w:val="00DB1440"/>
    <w:rsid w:val="00DB581B"/>
    <w:rsid w:val="00DB60A1"/>
    <w:rsid w:val="00DB74F6"/>
    <w:rsid w:val="00DC01B6"/>
    <w:rsid w:val="00DC1FBF"/>
    <w:rsid w:val="00DC5642"/>
    <w:rsid w:val="00DC6905"/>
    <w:rsid w:val="00DD093F"/>
    <w:rsid w:val="00DD4936"/>
    <w:rsid w:val="00DE1E45"/>
    <w:rsid w:val="00DE2F9A"/>
    <w:rsid w:val="00DE3E65"/>
    <w:rsid w:val="00DE5838"/>
    <w:rsid w:val="00DF43BF"/>
    <w:rsid w:val="00DF5702"/>
    <w:rsid w:val="00DF641A"/>
    <w:rsid w:val="00DF6E5A"/>
    <w:rsid w:val="00E06390"/>
    <w:rsid w:val="00E14152"/>
    <w:rsid w:val="00E14C45"/>
    <w:rsid w:val="00E211D4"/>
    <w:rsid w:val="00E21581"/>
    <w:rsid w:val="00E233FE"/>
    <w:rsid w:val="00E32172"/>
    <w:rsid w:val="00E349CA"/>
    <w:rsid w:val="00E37A60"/>
    <w:rsid w:val="00E471DB"/>
    <w:rsid w:val="00E50CAE"/>
    <w:rsid w:val="00E5334C"/>
    <w:rsid w:val="00E563B4"/>
    <w:rsid w:val="00E63E28"/>
    <w:rsid w:val="00E64C6B"/>
    <w:rsid w:val="00E700B7"/>
    <w:rsid w:val="00E72626"/>
    <w:rsid w:val="00E73249"/>
    <w:rsid w:val="00E81B04"/>
    <w:rsid w:val="00E825CC"/>
    <w:rsid w:val="00E83899"/>
    <w:rsid w:val="00E90419"/>
    <w:rsid w:val="00E94EE7"/>
    <w:rsid w:val="00E96FB5"/>
    <w:rsid w:val="00EA01B5"/>
    <w:rsid w:val="00EA2119"/>
    <w:rsid w:val="00EA2705"/>
    <w:rsid w:val="00EA29FB"/>
    <w:rsid w:val="00EB0CA4"/>
    <w:rsid w:val="00EB45F2"/>
    <w:rsid w:val="00EC118F"/>
    <w:rsid w:val="00EC37A0"/>
    <w:rsid w:val="00EC3BCF"/>
    <w:rsid w:val="00EC6B2B"/>
    <w:rsid w:val="00EC7B32"/>
    <w:rsid w:val="00ED159E"/>
    <w:rsid w:val="00EE622B"/>
    <w:rsid w:val="00EF27A6"/>
    <w:rsid w:val="00EF5FE9"/>
    <w:rsid w:val="00F01BBD"/>
    <w:rsid w:val="00F02B4A"/>
    <w:rsid w:val="00F1389C"/>
    <w:rsid w:val="00F15029"/>
    <w:rsid w:val="00F1786D"/>
    <w:rsid w:val="00F21D23"/>
    <w:rsid w:val="00F21E59"/>
    <w:rsid w:val="00F22612"/>
    <w:rsid w:val="00F2503D"/>
    <w:rsid w:val="00F31513"/>
    <w:rsid w:val="00F31D1F"/>
    <w:rsid w:val="00F32AFC"/>
    <w:rsid w:val="00F334CB"/>
    <w:rsid w:val="00F430AA"/>
    <w:rsid w:val="00F438E7"/>
    <w:rsid w:val="00F44F94"/>
    <w:rsid w:val="00F45277"/>
    <w:rsid w:val="00F47A13"/>
    <w:rsid w:val="00F57DE8"/>
    <w:rsid w:val="00F60724"/>
    <w:rsid w:val="00F62AC1"/>
    <w:rsid w:val="00F636BD"/>
    <w:rsid w:val="00F74EAA"/>
    <w:rsid w:val="00F8653B"/>
    <w:rsid w:val="00F865B2"/>
    <w:rsid w:val="00F90249"/>
    <w:rsid w:val="00F922FE"/>
    <w:rsid w:val="00F94C9D"/>
    <w:rsid w:val="00F96E41"/>
    <w:rsid w:val="00FA013D"/>
    <w:rsid w:val="00FA2B62"/>
    <w:rsid w:val="00FB0DD3"/>
    <w:rsid w:val="00FB65C9"/>
    <w:rsid w:val="00FC3F4E"/>
    <w:rsid w:val="00FC5473"/>
    <w:rsid w:val="00FD06D5"/>
    <w:rsid w:val="00FD25DF"/>
    <w:rsid w:val="00FD2C68"/>
    <w:rsid w:val="00FD3B52"/>
    <w:rsid w:val="00FD7E76"/>
    <w:rsid w:val="00FE4FC7"/>
    <w:rsid w:val="00FE768D"/>
    <w:rsid w:val="00FF120C"/>
    <w:rsid w:val="00FF1332"/>
    <w:rsid w:val="00FF3015"/>
    <w:rsid w:val="00FF433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CB03DC"/>
  <w15:chartTrackingRefBased/>
  <w15:docId w15:val="{752D811D-08A6-4708-9B82-C08E3FCB0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85939"/>
    <w:pPr>
      <w:spacing w:after="0" w:line="240" w:lineRule="auto"/>
    </w:pPr>
    <w:rPr>
      <w:rFonts w:eastAsia="Times New Roman" w:cs="Times New Roman"/>
      <w:sz w:val="20"/>
      <w:szCs w:val="20"/>
      <w:lang w:val="en-US"/>
    </w:rPr>
  </w:style>
  <w:style w:type="character" w:customStyle="1" w:styleId="FootnoteTextChar">
    <w:name w:val="Footnote Text Char"/>
    <w:basedOn w:val="DefaultParagraphFont"/>
    <w:link w:val="FootnoteText"/>
    <w:uiPriority w:val="99"/>
    <w:semiHidden/>
    <w:rsid w:val="00285939"/>
    <w:rPr>
      <w:rFonts w:eastAsia="Times New Roman" w:cs="Times New Roman"/>
      <w:sz w:val="20"/>
      <w:szCs w:val="20"/>
      <w:lang w:val="en-US"/>
    </w:rPr>
  </w:style>
  <w:style w:type="character" w:styleId="FootnoteReference">
    <w:name w:val="footnote reference"/>
    <w:basedOn w:val="DefaultParagraphFont"/>
    <w:uiPriority w:val="99"/>
    <w:semiHidden/>
    <w:unhideWhenUsed/>
    <w:qFormat/>
    <w:rsid w:val="00285939"/>
    <w:rPr>
      <w:vertAlign w:val="superscript"/>
    </w:rPr>
  </w:style>
  <w:style w:type="paragraph" w:styleId="ListParagraph">
    <w:name w:val="List Paragraph"/>
    <w:basedOn w:val="Normal"/>
    <w:uiPriority w:val="34"/>
    <w:qFormat/>
    <w:rsid w:val="00200753"/>
    <w:pPr>
      <w:ind w:left="720"/>
      <w:contextualSpacing/>
    </w:pPr>
  </w:style>
  <w:style w:type="paragraph" w:styleId="BalloonText">
    <w:name w:val="Balloon Text"/>
    <w:basedOn w:val="Normal"/>
    <w:link w:val="BalloonTextChar"/>
    <w:uiPriority w:val="99"/>
    <w:semiHidden/>
    <w:unhideWhenUsed/>
    <w:rsid w:val="00C54A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A7D"/>
    <w:rPr>
      <w:rFonts w:ascii="Segoe UI" w:hAnsi="Segoe UI" w:cs="Segoe UI"/>
      <w:sz w:val="18"/>
      <w:szCs w:val="18"/>
    </w:rPr>
  </w:style>
  <w:style w:type="paragraph" w:styleId="Header">
    <w:name w:val="header"/>
    <w:basedOn w:val="Normal"/>
    <w:link w:val="HeaderChar"/>
    <w:uiPriority w:val="99"/>
    <w:unhideWhenUsed/>
    <w:rsid w:val="00EC6B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B2B"/>
  </w:style>
  <w:style w:type="paragraph" w:styleId="Footer">
    <w:name w:val="footer"/>
    <w:basedOn w:val="Normal"/>
    <w:link w:val="FooterChar"/>
    <w:uiPriority w:val="99"/>
    <w:unhideWhenUsed/>
    <w:rsid w:val="00EC6B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E8650-E85B-44BC-9F16-37262416F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7449</Words>
  <Characters>42461</Characters>
  <Application>Microsoft Office Word</Application>
  <DocSecurity>4</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Hughson</dc:creator>
  <cp:keywords/>
  <dc:description/>
  <cp:lastModifiedBy>Patrick Jennings</cp:lastModifiedBy>
  <cp:revision>2</cp:revision>
  <cp:lastPrinted>2020-11-13T01:41:00Z</cp:lastPrinted>
  <dcterms:created xsi:type="dcterms:W3CDTF">2021-02-15T21:31:00Z</dcterms:created>
  <dcterms:modified xsi:type="dcterms:W3CDTF">2021-02-15T21:31:00Z</dcterms:modified>
</cp:coreProperties>
</file>