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65B9" w14:textId="6340E659" w:rsidR="000B52D4" w:rsidRPr="00D97077" w:rsidRDefault="00E4274C" w:rsidP="000B52D4">
      <w:pPr>
        <w:rPr>
          <w:rFonts w:cstheme="minorHAnsi"/>
          <w:b/>
          <w:sz w:val="24"/>
          <w:szCs w:val="24"/>
        </w:rPr>
      </w:pPr>
      <w:r>
        <w:rPr>
          <w:rFonts w:cstheme="minorHAnsi"/>
          <w:b/>
          <w:sz w:val="24"/>
          <w:szCs w:val="24"/>
        </w:rPr>
        <w:t>RSW</w:t>
      </w:r>
      <w:r w:rsidR="00767160">
        <w:rPr>
          <w:rFonts w:cstheme="minorHAnsi"/>
          <w:b/>
          <w:sz w:val="24"/>
          <w:szCs w:val="24"/>
        </w:rPr>
        <w:t>8</w:t>
      </w:r>
      <w:r w:rsidR="00EA696E" w:rsidRPr="00D97077">
        <w:rPr>
          <w:rFonts w:cstheme="minorHAnsi"/>
          <w:b/>
          <w:sz w:val="24"/>
          <w:szCs w:val="24"/>
        </w:rPr>
        <w:t xml:space="preserve">/SWDT/2020 – </w:t>
      </w:r>
      <w:r>
        <w:rPr>
          <w:rFonts w:cstheme="minorHAnsi"/>
          <w:b/>
          <w:sz w:val="24"/>
          <w:szCs w:val="24"/>
        </w:rPr>
        <w:t xml:space="preserve">Mr </w:t>
      </w:r>
      <w:r w:rsidR="00F6557E">
        <w:rPr>
          <w:rFonts w:cstheme="minorHAnsi"/>
          <w:b/>
          <w:sz w:val="24"/>
          <w:szCs w:val="24"/>
        </w:rPr>
        <w:t>Pomare Lumsden</w:t>
      </w:r>
    </w:p>
    <w:p w14:paraId="1EAC37E9" w14:textId="77777777" w:rsidR="00077676" w:rsidRPr="00D97077" w:rsidRDefault="003C170E" w:rsidP="000B52D4">
      <w:pPr>
        <w:rPr>
          <w:rFonts w:cstheme="minorHAnsi"/>
          <w:b/>
          <w:sz w:val="24"/>
          <w:szCs w:val="24"/>
        </w:rPr>
      </w:pPr>
      <w:r w:rsidRPr="00D97077">
        <w:rPr>
          <w:rFonts w:cstheme="minorHAnsi"/>
          <w:b/>
          <w:sz w:val="24"/>
          <w:szCs w:val="24"/>
        </w:rPr>
        <w:t>Charge</w:t>
      </w:r>
    </w:p>
    <w:p w14:paraId="4FE9A6FB" w14:textId="77777777" w:rsidR="00F324C7" w:rsidRPr="00D97077" w:rsidRDefault="00F324C7" w:rsidP="002F5C4D">
      <w:pPr>
        <w:rPr>
          <w:rFonts w:cstheme="minorHAnsi"/>
          <w:sz w:val="24"/>
          <w:szCs w:val="24"/>
        </w:rPr>
      </w:pPr>
      <w:r w:rsidRPr="00D97077">
        <w:rPr>
          <w:rFonts w:cstheme="minorHAnsi"/>
          <w:sz w:val="24"/>
          <w:szCs w:val="24"/>
        </w:rPr>
        <w:t xml:space="preserve">On </w:t>
      </w:r>
      <w:proofErr w:type="gramStart"/>
      <w:r w:rsidR="00F6557E">
        <w:rPr>
          <w:rFonts w:cstheme="minorHAnsi"/>
          <w:sz w:val="24"/>
          <w:szCs w:val="24"/>
        </w:rPr>
        <w:t>14 October</w:t>
      </w:r>
      <w:r w:rsidR="00EA696E" w:rsidRPr="00D97077">
        <w:rPr>
          <w:rFonts w:cstheme="minorHAnsi"/>
          <w:sz w:val="24"/>
          <w:szCs w:val="24"/>
        </w:rPr>
        <w:t xml:space="preserve"> 2020</w:t>
      </w:r>
      <w:proofErr w:type="gramEnd"/>
      <w:r w:rsidRPr="00D97077">
        <w:rPr>
          <w:rFonts w:cstheme="minorHAnsi"/>
          <w:sz w:val="24"/>
          <w:szCs w:val="24"/>
        </w:rPr>
        <w:t xml:space="preserve"> the Social Workers </w:t>
      </w:r>
      <w:r w:rsidR="006336F6" w:rsidRPr="00D97077">
        <w:rPr>
          <w:rFonts w:cstheme="minorHAnsi"/>
          <w:sz w:val="24"/>
          <w:szCs w:val="24"/>
        </w:rPr>
        <w:t>Complaints and Disciplinary</w:t>
      </w:r>
      <w:r w:rsidRPr="00D97077">
        <w:rPr>
          <w:rFonts w:cstheme="minorHAnsi"/>
          <w:sz w:val="24"/>
          <w:szCs w:val="24"/>
        </w:rPr>
        <w:t xml:space="preserve"> Tribunal </w:t>
      </w:r>
      <w:r w:rsidR="00F6557E">
        <w:rPr>
          <w:rFonts w:cstheme="minorHAnsi"/>
          <w:sz w:val="24"/>
          <w:szCs w:val="24"/>
        </w:rPr>
        <w:t>considered a conviction charge</w:t>
      </w:r>
      <w:r w:rsidRPr="00D97077">
        <w:rPr>
          <w:rFonts w:cstheme="minorHAnsi"/>
          <w:sz w:val="24"/>
          <w:szCs w:val="24"/>
        </w:rPr>
        <w:t xml:space="preserve"> </w:t>
      </w:r>
      <w:r w:rsidR="00EA696E" w:rsidRPr="00D97077">
        <w:rPr>
          <w:rFonts w:cstheme="minorHAnsi"/>
          <w:sz w:val="24"/>
          <w:szCs w:val="24"/>
        </w:rPr>
        <w:t>laid by a Professional Conduct Committee</w:t>
      </w:r>
      <w:r w:rsidR="00B34A1F">
        <w:rPr>
          <w:rFonts w:cstheme="minorHAnsi"/>
          <w:sz w:val="24"/>
          <w:szCs w:val="24"/>
        </w:rPr>
        <w:t xml:space="preserve"> (PCC)</w:t>
      </w:r>
      <w:r w:rsidR="00C012C1" w:rsidRPr="00D97077">
        <w:rPr>
          <w:rFonts w:cstheme="minorHAnsi"/>
          <w:sz w:val="24"/>
          <w:szCs w:val="24"/>
        </w:rPr>
        <w:t>,</w:t>
      </w:r>
      <w:r w:rsidRPr="00D97077">
        <w:rPr>
          <w:rFonts w:cstheme="minorHAnsi"/>
          <w:sz w:val="24"/>
          <w:szCs w:val="24"/>
        </w:rPr>
        <w:t xml:space="preserve"> against M</w:t>
      </w:r>
      <w:r w:rsidR="00E4274C">
        <w:rPr>
          <w:rFonts w:cstheme="minorHAnsi"/>
          <w:sz w:val="24"/>
          <w:szCs w:val="24"/>
        </w:rPr>
        <w:t xml:space="preserve">r </w:t>
      </w:r>
      <w:r w:rsidR="00F6557E">
        <w:rPr>
          <w:rFonts w:cstheme="minorHAnsi"/>
          <w:sz w:val="24"/>
          <w:szCs w:val="24"/>
        </w:rPr>
        <w:t>Pomare Lumsden</w:t>
      </w:r>
      <w:r w:rsidR="00E4274C">
        <w:rPr>
          <w:rFonts w:cstheme="minorHAnsi"/>
          <w:sz w:val="24"/>
          <w:szCs w:val="24"/>
        </w:rPr>
        <w:t>,</w:t>
      </w:r>
      <w:r w:rsidR="00EA696E" w:rsidRPr="00D97077">
        <w:rPr>
          <w:rFonts w:cstheme="minorHAnsi"/>
          <w:sz w:val="24"/>
          <w:szCs w:val="24"/>
        </w:rPr>
        <w:t xml:space="preserve"> reg</w:t>
      </w:r>
      <w:r w:rsidRPr="00D97077">
        <w:rPr>
          <w:rFonts w:cstheme="minorHAnsi"/>
          <w:sz w:val="24"/>
          <w:szCs w:val="24"/>
        </w:rPr>
        <w:t xml:space="preserve">istered social </w:t>
      </w:r>
      <w:r w:rsidR="00F6557E">
        <w:rPr>
          <w:rFonts w:cstheme="minorHAnsi"/>
          <w:sz w:val="24"/>
          <w:szCs w:val="24"/>
        </w:rPr>
        <w:t xml:space="preserve">worker of </w:t>
      </w:r>
      <w:proofErr w:type="spellStart"/>
      <w:r w:rsidR="00F6557E">
        <w:rPr>
          <w:rFonts w:cstheme="minorHAnsi"/>
          <w:sz w:val="24"/>
          <w:szCs w:val="24"/>
        </w:rPr>
        <w:t>Otariki</w:t>
      </w:r>
      <w:proofErr w:type="spellEnd"/>
      <w:r w:rsidR="006336F6" w:rsidRPr="00D97077">
        <w:rPr>
          <w:rFonts w:cstheme="minorHAnsi"/>
          <w:sz w:val="24"/>
          <w:szCs w:val="24"/>
        </w:rPr>
        <w:t xml:space="preserve"> (the social w</w:t>
      </w:r>
      <w:r w:rsidRPr="00D97077">
        <w:rPr>
          <w:rFonts w:cstheme="minorHAnsi"/>
          <w:sz w:val="24"/>
          <w:szCs w:val="24"/>
        </w:rPr>
        <w:t xml:space="preserve">orker). </w:t>
      </w:r>
      <w:r w:rsidR="002F5C4D" w:rsidRPr="00D97077">
        <w:rPr>
          <w:rFonts w:cstheme="minorHAnsi"/>
          <w:sz w:val="24"/>
          <w:szCs w:val="24"/>
        </w:rPr>
        <w:t xml:space="preserve"> </w:t>
      </w:r>
    </w:p>
    <w:p w14:paraId="51B7D402" w14:textId="77777777" w:rsidR="00363367" w:rsidRDefault="002F5C4D" w:rsidP="00C012C1">
      <w:pPr>
        <w:rPr>
          <w:rFonts w:cstheme="minorHAnsi"/>
          <w:sz w:val="24"/>
          <w:szCs w:val="24"/>
        </w:rPr>
      </w:pPr>
      <w:r w:rsidRPr="00D97077">
        <w:rPr>
          <w:rFonts w:cstheme="minorHAnsi"/>
          <w:sz w:val="24"/>
          <w:szCs w:val="24"/>
        </w:rPr>
        <w:t xml:space="preserve">The charge alleged that </w:t>
      </w:r>
      <w:r w:rsidR="00B06D1B" w:rsidRPr="00D97077">
        <w:rPr>
          <w:rFonts w:cstheme="minorHAnsi"/>
          <w:sz w:val="24"/>
          <w:szCs w:val="24"/>
        </w:rPr>
        <w:t xml:space="preserve">the </w:t>
      </w:r>
      <w:r w:rsidR="0021371D">
        <w:rPr>
          <w:rFonts w:cstheme="minorHAnsi"/>
          <w:sz w:val="24"/>
          <w:szCs w:val="24"/>
        </w:rPr>
        <w:t>social worker was convicted in the District Court of two offences under the Misuse of Drugs Act 1975 (supplying a Class A controlled Drug, namely methamphetamine), each offence being punishable by a term of imprisonment for 3 months or longer in that the social worker:</w:t>
      </w:r>
    </w:p>
    <w:p w14:paraId="144D2EFD" w14:textId="77777777" w:rsidR="0021371D" w:rsidRDefault="0021371D" w:rsidP="0021371D">
      <w:pPr>
        <w:pStyle w:val="ListParagraph"/>
        <w:numPr>
          <w:ilvl w:val="0"/>
          <w:numId w:val="6"/>
        </w:numPr>
        <w:rPr>
          <w:rFonts w:cstheme="minorHAnsi"/>
          <w:sz w:val="24"/>
          <w:szCs w:val="24"/>
        </w:rPr>
      </w:pPr>
      <w:r>
        <w:rPr>
          <w:rFonts w:cstheme="minorHAnsi"/>
          <w:sz w:val="24"/>
          <w:szCs w:val="24"/>
        </w:rPr>
        <w:t xml:space="preserve">supplied a Class A controlled Drug (methamphetamine) to another person which the social worker and that person used </w:t>
      </w:r>
      <w:proofErr w:type="gramStart"/>
      <w:r>
        <w:rPr>
          <w:rFonts w:cstheme="minorHAnsi"/>
          <w:sz w:val="24"/>
          <w:szCs w:val="24"/>
        </w:rPr>
        <w:t>together;</w:t>
      </w:r>
      <w:proofErr w:type="gramEnd"/>
    </w:p>
    <w:p w14:paraId="701066B7" w14:textId="77777777" w:rsidR="0021371D" w:rsidRDefault="0021371D" w:rsidP="0021371D">
      <w:pPr>
        <w:pStyle w:val="ListParagraph"/>
        <w:numPr>
          <w:ilvl w:val="0"/>
          <w:numId w:val="6"/>
        </w:numPr>
        <w:rPr>
          <w:rFonts w:cstheme="minorHAnsi"/>
          <w:sz w:val="24"/>
          <w:szCs w:val="24"/>
        </w:rPr>
      </w:pPr>
      <w:r>
        <w:rPr>
          <w:rFonts w:cstheme="minorHAnsi"/>
          <w:sz w:val="24"/>
          <w:szCs w:val="24"/>
        </w:rPr>
        <w:t>supplied at his home, a Class A controlled Drug (methamphetamine) to another person, which the social worker and that person used together.</w:t>
      </w:r>
    </w:p>
    <w:p w14:paraId="40416D45" w14:textId="77777777" w:rsidR="00883A37" w:rsidRDefault="00883A37" w:rsidP="0021371D">
      <w:pPr>
        <w:rPr>
          <w:rFonts w:cstheme="minorHAnsi"/>
          <w:sz w:val="24"/>
          <w:szCs w:val="24"/>
        </w:rPr>
      </w:pPr>
      <w:r>
        <w:rPr>
          <w:rFonts w:cstheme="minorHAnsi"/>
          <w:sz w:val="24"/>
          <w:szCs w:val="24"/>
        </w:rPr>
        <w:t xml:space="preserve">That the </w:t>
      </w:r>
      <w:r w:rsidR="0021371D">
        <w:rPr>
          <w:rFonts w:cstheme="minorHAnsi"/>
          <w:sz w:val="24"/>
          <w:szCs w:val="24"/>
        </w:rPr>
        <w:t>offences were committed in circumstances that, either separately or cumulatively, reflect adversely on the social worker’s fitness to practise</w:t>
      </w:r>
      <w:r w:rsidR="003946F7">
        <w:rPr>
          <w:rFonts w:cstheme="minorHAnsi"/>
          <w:sz w:val="24"/>
          <w:szCs w:val="24"/>
        </w:rPr>
        <w:t xml:space="preserve"> a</w:t>
      </w:r>
      <w:r w:rsidR="0021371D">
        <w:rPr>
          <w:rFonts w:cstheme="minorHAnsi"/>
          <w:sz w:val="24"/>
          <w:szCs w:val="24"/>
        </w:rPr>
        <w:t>s a</w:t>
      </w:r>
      <w:r w:rsidR="003946F7">
        <w:rPr>
          <w:rFonts w:cstheme="minorHAnsi"/>
          <w:sz w:val="24"/>
          <w:szCs w:val="24"/>
        </w:rPr>
        <w:t xml:space="preserve"> social worker.</w:t>
      </w:r>
    </w:p>
    <w:p w14:paraId="2909D466" w14:textId="77777777" w:rsidR="00B34A1F" w:rsidRDefault="0021371D" w:rsidP="00B34A1F">
      <w:pPr>
        <w:rPr>
          <w:rFonts w:cstheme="minorHAnsi"/>
          <w:sz w:val="24"/>
          <w:szCs w:val="24"/>
        </w:rPr>
      </w:pPr>
      <w:r>
        <w:rPr>
          <w:rFonts w:cstheme="minorHAnsi"/>
          <w:sz w:val="24"/>
          <w:szCs w:val="24"/>
        </w:rPr>
        <w:t>The hearing was held by audio visual link.</w:t>
      </w:r>
    </w:p>
    <w:p w14:paraId="792608D8" w14:textId="77777777" w:rsidR="003E64C6" w:rsidRDefault="003E64C6" w:rsidP="00B34A1F">
      <w:pPr>
        <w:rPr>
          <w:rFonts w:cstheme="minorHAnsi"/>
          <w:b/>
          <w:sz w:val="24"/>
          <w:szCs w:val="24"/>
        </w:rPr>
      </w:pPr>
      <w:r w:rsidRPr="003E64C6">
        <w:rPr>
          <w:rFonts w:cstheme="minorHAnsi"/>
          <w:b/>
          <w:sz w:val="24"/>
          <w:szCs w:val="24"/>
        </w:rPr>
        <w:t>Background</w:t>
      </w:r>
    </w:p>
    <w:p w14:paraId="432E44B9" w14:textId="1CFA1FB2" w:rsidR="001567C1" w:rsidRDefault="003E64C6" w:rsidP="003E64C6">
      <w:pPr>
        <w:rPr>
          <w:rFonts w:cstheme="minorHAnsi"/>
          <w:sz w:val="24"/>
          <w:szCs w:val="24"/>
        </w:rPr>
      </w:pPr>
      <w:r>
        <w:rPr>
          <w:rFonts w:cstheme="minorHAnsi"/>
          <w:sz w:val="24"/>
          <w:szCs w:val="24"/>
        </w:rPr>
        <w:t xml:space="preserve">The victim of the social worker’s offending was under the approved care of the social worker and was also related to him.  The social worker was aware of the victim’s history and previous struggles with methamphetamine.  The social worker also struggled </w:t>
      </w:r>
      <w:r w:rsidR="001567C1">
        <w:rPr>
          <w:rFonts w:cstheme="minorHAnsi"/>
          <w:sz w:val="24"/>
          <w:szCs w:val="24"/>
        </w:rPr>
        <w:t>with methamphetamine use and he on the one hand wanted to help the victim, thinking it safer for her to smoke it with him but on the other hand he wanted the methamphetamine for himself.  There was no malicious intent with respect to the conduct of the social worker.</w:t>
      </w:r>
    </w:p>
    <w:p w14:paraId="610F4998" w14:textId="77777777" w:rsidR="003E64C6" w:rsidRDefault="003E64C6" w:rsidP="003E64C6">
      <w:pPr>
        <w:rPr>
          <w:rFonts w:cstheme="minorHAnsi"/>
          <w:sz w:val="24"/>
          <w:szCs w:val="24"/>
        </w:rPr>
      </w:pPr>
      <w:r>
        <w:rPr>
          <w:rFonts w:cstheme="minorHAnsi"/>
          <w:sz w:val="24"/>
          <w:szCs w:val="24"/>
        </w:rPr>
        <w:t>The social worker accepted the charge and the hearing proceeded by way of an agreed statement of facts.</w:t>
      </w:r>
      <w:r w:rsidR="001567C1">
        <w:rPr>
          <w:rFonts w:cstheme="minorHAnsi"/>
          <w:sz w:val="24"/>
          <w:szCs w:val="24"/>
        </w:rPr>
        <w:t xml:space="preserve">  The social worker sincerely apologised for his conduct and showed remorse and humility.  The soc</w:t>
      </w:r>
      <w:r w:rsidR="00673ADE">
        <w:rPr>
          <w:rFonts w:cstheme="minorHAnsi"/>
          <w:sz w:val="24"/>
          <w:szCs w:val="24"/>
        </w:rPr>
        <w:t>ial worker has taken</w:t>
      </w:r>
      <w:r w:rsidR="001567C1">
        <w:rPr>
          <w:rFonts w:cstheme="minorHAnsi"/>
          <w:sz w:val="24"/>
          <w:szCs w:val="24"/>
        </w:rPr>
        <w:t xml:space="preserve"> steps since his convictions to address his drug abuse issues and pleaded guilty and accepted the facts in the criminal jurisdiction.</w:t>
      </w:r>
    </w:p>
    <w:p w14:paraId="228724A3" w14:textId="77777777" w:rsidR="00111775" w:rsidRPr="00D97077" w:rsidRDefault="00111775" w:rsidP="00111775">
      <w:pPr>
        <w:rPr>
          <w:rFonts w:cstheme="minorHAnsi"/>
          <w:b/>
          <w:sz w:val="24"/>
          <w:szCs w:val="24"/>
        </w:rPr>
      </w:pPr>
      <w:r w:rsidRPr="00D97077">
        <w:rPr>
          <w:rFonts w:cstheme="minorHAnsi"/>
          <w:b/>
          <w:sz w:val="24"/>
          <w:szCs w:val="24"/>
        </w:rPr>
        <w:t>Finding</w:t>
      </w:r>
    </w:p>
    <w:p w14:paraId="35954194" w14:textId="77777777" w:rsidR="00673ADE" w:rsidRDefault="00111775" w:rsidP="0048178F">
      <w:pPr>
        <w:rPr>
          <w:rFonts w:cstheme="minorHAnsi"/>
          <w:sz w:val="24"/>
          <w:szCs w:val="24"/>
        </w:rPr>
      </w:pPr>
      <w:r w:rsidRPr="00D97077">
        <w:rPr>
          <w:rFonts w:cstheme="minorHAnsi"/>
          <w:sz w:val="24"/>
          <w:szCs w:val="24"/>
        </w:rPr>
        <w:t>The Tribunal found</w:t>
      </w:r>
      <w:r w:rsidR="00B34A1F">
        <w:rPr>
          <w:rFonts w:cstheme="minorHAnsi"/>
          <w:sz w:val="24"/>
          <w:szCs w:val="24"/>
        </w:rPr>
        <w:t xml:space="preserve"> </w:t>
      </w:r>
      <w:r w:rsidR="001567C1">
        <w:rPr>
          <w:rFonts w:cstheme="minorHAnsi"/>
          <w:sz w:val="24"/>
          <w:szCs w:val="24"/>
        </w:rPr>
        <w:t xml:space="preserve">the charge made out </w:t>
      </w:r>
      <w:r w:rsidR="00673ADE">
        <w:rPr>
          <w:rFonts w:cstheme="minorHAnsi"/>
          <w:sz w:val="24"/>
          <w:szCs w:val="24"/>
        </w:rPr>
        <w:t>and that the conduct reflected adversely on the social worker’s fitness to practise.  The Tribunal accepted that there was no malicious intent</w:t>
      </w:r>
      <w:r w:rsidR="00E25D11">
        <w:rPr>
          <w:rFonts w:cstheme="minorHAnsi"/>
          <w:sz w:val="24"/>
          <w:szCs w:val="24"/>
        </w:rPr>
        <w:t xml:space="preserve"> but were</w:t>
      </w:r>
      <w:r w:rsidR="00673ADE">
        <w:rPr>
          <w:rFonts w:cstheme="minorHAnsi"/>
          <w:sz w:val="24"/>
          <w:szCs w:val="24"/>
        </w:rPr>
        <w:t xml:space="preserve"> the result of ‘poor judgement and self-gratification’.  They were harmful actions which have ‘undoubtedly had a serious effect’ on the victim, breaching the significant trust that clients </w:t>
      </w:r>
      <w:r w:rsidR="00673ADE">
        <w:rPr>
          <w:rFonts w:cstheme="minorHAnsi"/>
          <w:sz w:val="24"/>
          <w:szCs w:val="24"/>
        </w:rPr>
        <w:lastRenderedPageBreak/>
        <w:t>place in the social worker that they will be properly cared for.  A social worker must show self-restraint in his or her own life, and in how they deal with other people.</w:t>
      </w:r>
    </w:p>
    <w:p w14:paraId="3A01A5BB" w14:textId="77777777" w:rsidR="00111775" w:rsidRPr="00D97077" w:rsidRDefault="00A52D75" w:rsidP="00A52D75">
      <w:pPr>
        <w:rPr>
          <w:rFonts w:cstheme="minorHAnsi"/>
          <w:b/>
          <w:sz w:val="24"/>
          <w:szCs w:val="24"/>
        </w:rPr>
      </w:pPr>
      <w:r w:rsidRPr="00D97077">
        <w:rPr>
          <w:rFonts w:cstheme="minorHAnsi"/>
          <w:b/>
          <w:sz w:val="24"/>
          <w:szCs w:val="24"/>
        </w:rPr>
        <w:t>Penalty</w:t>
      </w:r>
    </w:p>
    <w:p w14:paraId="6C3FBE0A" w14:textId="77777777" w:rsidR="00673ADE" w:rsidRDefault="00B06D1B" w:rsidP="000B52D4">
      <w:pPr>
        <w:rPr>
          <w:rFonts w:cstheme="minorHAnsi"/>
          <w:sz w:val="24"/>
          <w:szCs w:val="24"/>
        </w:rPr>
      </w:pPr>
      <w:r w:rsidRPr="00D97077">
        <w:rPr>
          <w:rFonts w:cstheme="minorHAnsi"/>
          <w:sz w:val="24"/>
          <w:szCs w:val="24"/>
        </w:rPr>
        <w:t xml:space="preserve">The </w:t>
      </w:r>
      <w:r w:rsidR="006336F6" w:rsidRPr="00D97077">
        <w:rPr>
          <w:rFonts w:cstheme="minorHAnsi"/>
          <w:sz w:val="24"/>
          <w:szCs w:val="24"/>
        </w:rPr>
        <w:t xml:space="preserve">social worker was </w:t>
      </w:r>
      <w:proofErr w:type="gramStart"/>
      <w:r w:rsidR="006336F6" w:rsidRPr="00D97077">
        <w:rPr>
          <w:rFonts w:cstheme="minorHAnsi"/>
          <w:sz w:val="24"/>
          <w:szCs w:val="24"/>
        </w:rPr>
        <w:t>censured</w:t>
      </w:r>
      <w:proofErr w:type="gramEnd"/>
      <w:r w:rsidR="006336F6" w:rsidRPr="00D97077">
        <w:rPr>
          <w:rFonts w:cstheme="minorHAnsi"/>
          <w:sz w:val="24"/>
          <w:szCs w:val="24"/>
        </w:rPr>
        <w:t xml:space="preserve"> </w:t>
      </w:r>
      <w:r w:rsidR="003A5CD0" w:rsidRPr="00D97077">
        <w:rPr>
          <w:rFonts w:cstheme="minorHAnsi"/>
          <w:sz w:val="24"/>
          <w:szCs w:val="24"/>
        </w:rPr>
        <w:t xml:space="preserve">and </w:t>
      </w:r>
      <w:r w:rsidR="00253589">
        <w:rPr>
          <w:rFonts w:cstheme="minorHAnsi"/>
          <w:sz w:val="24"/>
          <w:szCs w:val="24"/>
        </w:rPr>
        <w:t xml:space="preserve">his registration cancelled.  </w:t>
      </w:r>
    </w:p>
    <w:p w14:paraId="646A6DEE" w14:textId="77777777" w:rsidR="006336F6" w:rsidRPr="00D97077" w:rsidRDefault="00673ADE" w:rsidP="000B52D4">
      <w:pPr>
        <w:rPr>
          <w:rFonts w:cstheme="minorHAnsi"/>
          <w:sz w:val="24"/>
          <w:szCs w:val="24"/>
        </w:rPr>
      </w:pPr>
      <w:r>
        <w:rPr>
          <w:rFonts w:cstheme="minorHAnsi"/>
          <w:sz w:val="24"/>
          <w:szCs w:val="24"/>
        </w:rPr>
        <w:t xml:space="preserve">Given the </w:t>
      </w:r>
      <w:r w:rsidR="00E25D11">
        <w:rPr>
          <w:rFonts w:cstheme="minorHAnsi"/>
          <w:sz w:val="24"/>
          <w:szCs w:val="24"/>
        </w:rPr>
        <w:t xml:space="preserve">unique circumstances of this case </w:t>
      </w:r>
      <w:r>
        <w:rPr>
          <w:rFonts w:cstheme="minorHAnsi"/>
          <w:sz w:val="24"/>
          <w:szCs w:val="24"/>
        </w:rPr>
        <w:t>relating to the social worker’s current financial means and health situation</w:t>
      </w:r>
      <w:r w:rsidR="00E25D11">
        <w:rPr>
          <w:rFonts w:cstheme="minorHAnsi"/>
          <w:sz w:val="24"/>
          <w:szCs w:val="24"/>
        </w:rPr>
        <w:t xml:space="preserve"> the Tribunal did not impose an order for a contribution towards the costs incurred by the PCC and the Tribunal.</w:t>
      </w:r>
    </w:p>
    <w:p w14:paraId="62083DAB" w14:textId="77777777" w:rsidR="005131B7" w:rsidRDefault="0048178F" w:rsidP="000B52D4">
      <w:pPr>
        <w:rPr>
          <w:rFonts w:ascii="Times New Roman" w:hAnsi="Times New Roman" w:cs="Times New Roman"/>
          <w:sz w:val="24"/>
          <w:szCs w:val="24"/>
        </w:rPr>
      </w:pPr>
      <w:r w:rsidRPr="00D97077">
        <w:rPr>
          <w:rFonts w:cstheme="minorHAnsi"/>
          <w:sz w:val="24"/>
          <w:szCs w:val="24"/>
        </w:rPr>
        <w:t>The Tribunal directed that the decision and a summa</w:t>
      </w:r>
      <w:r w:rsidR="006336F6" w:rsidRPr="00D97077">
        <w:rPr>
          <w:rFonts w:cstheme="minorHAnsi"/>
          <w:sz w:val="24"/>
          <w:szCs w:val="24"/>
        </w:rPr>
        <w:t>ry</w:t>
      </w:r>
      <w:r w:rsidR="005131B7">
        <w:rPr>
          <w:rFonts w:ascii="Times New Roman" w:hAnsi="Times New Roman" w:cs="Times New Roman"/>
          <w:sz w:val="24"/>
          <w:szCs w:val="24"/>
        </w:rPr>
        <w:t xml:space="preserve"> of the decision be published.</w:t>
      </w:r>
    </w:p>
    <w:p w14:paraId="7132ACC6" w14:textId="6C4529BA" w:rsidR="005131B7" w:rsidRPr="005131B7" w:rsidRDefault="005131B7" w:rsidP="000B52D4">
      <w:pPr>
        <w:rPr>
          <w:rFonts w:cstheme="minorHAnsi"/>
          <w:sz w:val="24"/>
          <w:szCs w:val="24"/>
        </w:rPr>
      </w:pPr>
      <w:r w:rsidRPr="005131B7">
        <w:rPr>
          <w:rFonts w:cstheme="minorHAnsi"/>
          <w:sz w:val="24"/>
          <w:szCs w:val="24"/>
        </w:rPr>
        <w:t xml:space="preserve">The full decision of the Tribunal can be found at </w:t>
      </w:r>
      <w:hyperlink r:id="rId7" w:history="1">
        <w:r w:rsidR="007E024A" w:rsidRPr="00CE6BD2">
          <w:rPr>
            <w:rStyle w:val="Hyperlink"/>
            <w:rFonts w:cstheme="minorHAnsi"/>
            <w:sz w:val="24"/>
            <w:szCs w:val="24"/>
          </w:rPr>
          <w:t>https://swrb.govt.nz/public-and-employers/tribunal-decisions/</w:t>
        </w:r>
      </w:hyperlink>
      <w:r w:rsidR="007E024A">
        <w:rPr>
          <w:rFonts w:cstheme="minorHAnsi"/>
          <w:sz w:val="24"/>
          <w:szCs w:val="24"/>
        </w:rPr>
        <w:t xml:space="preserve"> </w:t>
      </w:r>
    </w:p>
    <w:sectPr w:rsidR="005131B7" w:rsidRPr="005131B7" w:rsidSect="006336F6">
      <w:pgSz w:w="12240" w:h="15840"/>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07B2" w14:textId="77777777" w:rsidR="00414867" w:rsidRDefault="00414867" w:rsidP="006336F6">
      <w:pPr>
        <w:spacing w:after="0" w:line="240" w:lineRule="auto"/>
      </w:pPr>
      <w:r>
        <w:separator/>
      </w:r>
    </w:p>
  </w:endnote>
  <w:endnote w:type="continuationSeparator" w:id="0">
    <w:p w14:paraId="55CD356B" w14:textId="77777777" w:rsidR="00414867" w:rsidRDefault="00414867" w:rsidP="0063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B1819" w14:textId="77777777" w:rsidR="00414867" w:rsidRDefault="00414867" w:rsidP="006336F6">
      <w:pPr>
        <w:spacing w:after="0" w:line="240" w:lineRule="auto"/>
      </w:pPr>
      <w:r>
        <w:separator/>
      </w:r>
    </w:p>
  </w:footnote>
  <w:footnote w:type="continuationSeparator" w:id="0">
    <w:p w14:paraId="244C84D7" w14:textId="77777777" w:rsidR="00414867" w:rsidRDefault="00414867" w:rsidP="00633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B663B"/>
    <w:multiLevelType w:val="hybridMultilevel"/>
    <w:tmpl w:val="CC7E826E"/>
    <w:lvl w:ilvl="0" w:tplc="E774089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3DF54BE"/>
    <w:multiLevelType w:val="hybridMultilevel"/>
    <w:tmpl w:val="C760205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D25C8C"/>
    <w:multiLevelType w:val="hybridMultilevel"/>
    <w:tmpl w:val="A6A810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BB38AD"/>
    <w:multiLevelType w:val="hybridMultilevel"/>
    <w:tmpl w:val="DB8870B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7254E7A"/>
    <w:multiLevelType w:val="hybridMultilevel"/>
    <w:tmpl w:val="CF48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D1B53"/>
    <w:multiLevelType w:val="hybridMultilevel"/>
    <w:tmpl w:val="F81601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2D4"/>
    <w:rsid w:val="00077676"/>
    <w:rsid w:val="00095A05"/>
    <w:rsid w:val="000A776E"/>
    <w:rsid w:val="000B52D4"/>
    <w:rsid w:val="00111775"/>
    <w:rsid w:val="001567C1"/>
    <w:rsid w:val="00182B00"/>
    <w:rsid w:val="001A2A37"/>
    <w:rsid w:val="001B5F75"/>
    <w:rsid w:val="0021371D"/>
    <w:rsid w:val="00253589"/>
    <w:rsid w:val="00267284"/>
    <w:rsid w:val="002F5C4D"/>
    <w:rsid w:val="00363367"/>
    <w:rsid w:val="003946F7"/>
    <w:rsid w:val="003A5CD0"/>
    <w:rsid w:val="003B3D54"/>
    <w:rsid w:val="003C170E"/>
    <w:rsid w:val="003E64C6"/>
    <w:rsid w:val="00414867"/>
    <w:rsid w:val="0048178F"/>
    <w:rsid w:val="004A6411"/>
    <w:rsid w:val="00501DD9"/>
    <w:rsid w:val="005131B7"/>
    <w:rsid w:val="00537989"/>
    <w:rsid w:val="0062481A"/>
    <w:rsid w:val="006336F6"/>
    <w:rsid w:val="00673ADE"/>
    <w:rsid w:val="00767160"/>
    <w:rsid w:val="007A1322"/>
    <w:rsid w:val="007E024A"/>
    <w:rsid w:val="007F326E"/>
    <w:rsid w:val="00883A37"/>
    <w:rsid w:val="008B01BB"/>
    <w:rsid w:val="00962EF6"/>
    <w:rsid w:val="0098026B"/>
    <w:rsid w:val="009A6CCD"/>
    <w:rsid w:val="00A15CC7"/>
    <w:rsid w:val="00A52D75"/>
    <w:rsid w:val="00AB5055"/>
    <w:rsid w:val="00B06D1B"/>
    <w:rsid w:val="00B20BBD"/>
    <w:rsid w:val="00B21C05"/>
    <w:rsid w:val="00B34A1F"/>
    <w:rsid w:val="00B419F5"/>
    <w:rsid w:val="00B63F95"/>
    <w:rsid w:val="00C012C1"/>
    <w:rsid w:val="00D13D2E"/>
    <w:rsid w:val="00D876A9"/>
    <w:rsid w:val="00D97077"/>
    <w:rsid w:val="00E04EB8"/>
    <w:rsid w:val="00E25D11"/>
    <w:rsid w:val="00E42000"/>
    <w:rsid w:val="00E4274C"/>
    <w:rsid w:val="00E44313"/>
    <w:rsid w:val="00EA696E"/>
    <w:rsid w:val="00EE37DE"/>
    <w:rsid w:val="00F16CD3"/>
    <w:rsid w:val="00F324C7"/>
    <w:rsid w:val="00F6557E"/>
    <w:rsid w:val="00F73913"/>
    <w:rsid w:val="00FD5429"/>
    <w:rsid w:val="00FE0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FE6BF1"/>
  <w15:docId w15:val="{1544C11B-3D5A-4471-93F3-5C71A3AC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6B"/>
    <w:rPr>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2D4"/>
    <w:pPr>
      <w:ind w:left="720"/>
      <w:contextualSpacing/>
    </w:pPr>
  </w:style>
  <w:style w:type="paragraph" w:styleId="BalloonText">
    <w:name w:val="Balloon Text"/>
    <w:basedOn w:val="Normal"/>
    <w:link w:val="BalloonTextChar"/>
    <w:uiPriority w:val="99"/>
    <w:semiHidden/>
    <w:unhideWhenUsed/>
    <w:rsid w:val="00537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989"/>
    <w:rPr>
      <w:rFonts w:ascii="Segoe UI" w:hAnsi="Segoe UI" w:cs="Segoe UI"/>
      <w:sz w:val="18"/>
      <w:szCs w:val="18"/>
      <w:lang w:val="en-NZ"/>
    </w:rPr>
  </w:style>
  <w:style w:type="paragraph" w:styleId="Header">
    <w:name w:val="header"/>
    <w:basedOn w:val="Normal"/>
    <w:link w:val="HeaderChar"/>
    <w:uiPriority w:val="99"/>
    <w:unhideWhenUsed/>
    <w:rsid w:val="006336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6F6"/>
    <w:rPr>
      <w:lang w:val="en-NZ"/>
    </w:rPr>
  </w:style>
  <w:style w:type="paragraph" w:styleId="Footer">
    <w:name w:val="footer"/>
    <w:basedOn w:val="Normal"/>
    <w:link w:val="FooterChar"/>
    <w:uiPriority w:val="99"/>
    <w:unhideWhenUsed/>
    <w:rsid w:val="006336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6F6"/>
    <w:rPr>
      <w:lang w:val="en-NZ"/>
    </w:rPr>
  </w:style>
  <w:style w:type="character" w:styleId="Hyperlink">
    <w:name w:val="Hyperlink"/>
    <w:basedOn w:val="DefaultParagraphFont"/>
    <w:uiPriority w:val="99"/>
    <w:unhideWhenUsed/>
    <w:rsid w:val="007E024A"/>
    <w:rPr>
      <w:color w:val="0000FF" w:themeColor="hyperlink"/>
      <w:u w:val="single"/>
    </w:rPr>
  </w:style>
  <w:style w:type="character" w:styleId="UnresolvedMention">
    <w:name w:val="Unresolved Mention"/>
    <w:basedOn w:val="DefaultParagraphFont"/>
    <w:uiPriority w:val="99"/>
    <w:semiHidden/>
    <w:unhideWhenUsed/>
    <w:rsid w:val="007E0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wrb.govt.nz/public-and-employers/tribunal-deci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Medical Council of New Zealand</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dc:creator>
  <cp:keywords/>
  <dc:description/>
  <cp:lastModifiedBy>Patrick Jennings</cp:lastModifiedBy>
  <cp:revision>2</cp:revision>
  <cp:lastPrinted>2016-08-30T03:33:00Z</cp:lastPrinted>
  <dcterms:created xsi:type="dcterms:W3CDTF">2021-02-16T03:13:00Z</dcterms:created>
  <dcterms:modified xsi:type="dcterms:W3CDTF">2021-02-16T03:13:00Z</dcterms:modified>
</cp:coreProperties>
</file>