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802B" w14:textId="77777777" w:rsidR="000B52D4" w:rsidRPr="00D97077" w:rsidRDefault="00E4274C" w:rsidP="000B52D4">
      <w:pPr>
        <w:rPr>
          <w:rFonts w:cstheme="minorHAnsi"/>
          <w:b/>
          <w:sz w:val="24"/>
          <w:szCs w:val="24"/>
        </w:rPr>
      </w:pPr>
      <w:r>
        <w:rPr>
          <w:rFonts w:cstheme="minorHAnsi"/>
          <w:b/>
          <w:sz w:val="24"/>
          <w:szCs w:val="24"/>
        </w:rPr>
        <w:t>RSW6</w:t>
      </w:r>
      <w:r w:rsidR="00EA696E" w:rsidRPr="00D97077">
        <w:rPr>
          <w:rFonts w:cstheme="minorHAnsi"/>
          <w:b/>
          <w:sz w:val="24"/>
          <w:szCs w:val="24"/>
        </w:rPr>
        <w:t xml:space="preserve">/SWDT/2020 – </w:t>
      </w:r>
      <w:r>
        <w:rPr>
          <w:rFonts w:cstheme="minorHAnsi"/>
          <w:b/>
          <w:sz w:val="24"/>
          <w:szCs w:val="24"/>
        </w:rPr>
        <w:t xml:space="preserve">Mr </w:t>
      </w:r>
      <w:proofErr w:type="spellStart"/>
      <w:r>
        <w:rPr>
          <w:rFonts w:cstheme="minorHAnsi"/>
          <w:b/>
          <w:sz w:val="24"/>
          <w:szCs w:val="24"/>
        </w:rPr>
        <w:t>Sioeli</w:t>
      </w:r>
      <w:proofErr w:type="spellEnd"/>
      <w:r>
        <w:rPr>
          <w:rFonts w:cstheme="minorHAnsi"/>
          <w:b/>
          <w:sz w:val="24"/>
          <w:szCs w:val="24"/>
        </w:rPr>
        <w:t xml:space="preserve"> </w:t>
      </w:r>
      <w:proofErr w:type="spellStart"/>
      <w:r>
        <w:rPr>
          <w:rFonts w:cstheme="minorHAnsi"/>
          <w:b/>
          <w:sz w:val="24"/>
          <w:szCs w:val="24"/>
        </w:rPr>
        <w:t>Vaiangina</w:t>
      </w:r>
      <w:proofErr w:type="spellEnd"/>
    </w:p>
    <w:p w14:paraId="6170B1AF" w14:textId="77777777" w:rsidR="00077676" w:rsidRPr="00D97077" w:rsidRDefault="003C170E" w:rsidP="000B52D4">
      <w:pPr>
        <w:rPr>
          <w:rFonts w:cstheme="minorHAnsi"/>
          <w:b/>
          <w:sz w:val="24"/>
          <w:szCs w:val="24"/>
        </w:rPr>
      </w:pPr>
      <w:r w:rsidRPr="00D97077">
        <w:rPr>
          <w:rFonts w:cstheme="minorHAnsi"/>
          <w:b/>
          <w:sz w:val="24"/>
          <w:szCs w:val="24"/>
        </w:rPr>
        <w:t>Charge</w:t>
      </w:r>
    </w:p>
    <w:p w14:paraId="3B5D6C07" w14:textId="77777777" w:rsidR="00F324C7" w:rsidRPr="00D97077" w:rsidRDefault="00F324C7" w:rsidP="002F5C4D">
      <w:pPr>
        <w:rPr>
          <w:rFonts w:cstheme="minorHAnsi"/>
          <w:sz w:val="24"/>
          <w:szCs w:val="24"/>
        </w:rPr>
      </w:pPr>
      <w:r w:rsidRPr="00D97077">
        <w:rPr>
          <w:rFonts w:cstheme="minorHAnsi"/>
          <w:sz w:val="24"/>
          <w:szCs w:val="24"/>
        </w:rPr>
        <w:t xml:space="preserve">On </w:t>
      </w:r>
      <w:proofErr w:type="gramStart"/>
      <w:r w:rsidR="00182B00">
        <w:rPr>
          <w:rFonts w:cstheme="minorHAnsi"/>
          <w:sz w:val="24"/>
          <w:szCs w:val="24"/>
        </w:rPr>
        <w:t>20 March</w:t>
      </w:r>
      <w:r w:rsidR="00EA696E" w:rsidRPr="00D97077">
        <w:rPr>
          <w:rFonts w:cstheme="minorHAnsi"/>
          <w:sz w:val="24"/>
          <w:szCs w:val="24"/>
        </w:rPr>
        <w:t xml:space="preserve"> 2020</w:t>
      </w:r>
      <w:proofErr w:type="gramEnd"/>
      <w:r w:rsidRPr="00D97077">
        <w:rPr>
          <w:rFonts w:cstheme="minorHAnsi"/>
          <w:sz w:val="24"/>
          <w:szCs w:val="24"/>
        </w:rPr>
        <w:t xml:space="preserve"> the Social Workers </w:t>
      </w:r>
      <w:r w:rsidR="006336F6" w:rsidRPr="00D97077">
        <w:rPr>
          <w:rFonts w:cstheme="minorHAnsi"/>
          <w:sz w:val="24"/>
          <w:szCs w:val="24"/>
        </w:rPr>
        <w:t>Complaints and Disciplinary</w:t>
      </w:r>
      <w:r w:rsidRPr="00D97077">
        <w:rPr>
          <w:rFonts w:cstheme="minorHAnsi"/>
          <w:sz w:val="24"/>
          <w:szCs w:val="24"/>
        </w:rPr>
        <w:t xml:space="preserve"> Tribunal </w:t>
      </w:r>
      <w:r w:rsidR="00182B00">
        <w:rPr>
          <w:rFonts w:cstheme="minorHAnsi"/>
          <w:sz w:val="24"/>
          <w:szCs w:val="24"/>
        </w:rPr>
        <w:t xml:space="preserve">received </w:t>
      </w:r>
      <w:r w:rsidR="00E4274C">
        <w:rPr>
          <w:rFonts w:cstheme="minorHAnsi"/>
          <w:sz w:val="24"/>
          <w:szCs w:val="24"/>
        </w:rPr>
        <w:t xml:space="preserve">a </w:t>
      </w:r>
      <w:r w:rsidRPr="00D97077">
        <w:rPr>
          <w:rFonts w:cstheme="minorHAnsi"/>
          <w:sz w:val="24"/>
          <w:szCs w:val="24"/>
        </w:rPr>
        <w:t>charge</w:t>
      </w:r>
      <w:r w:rsidR="00E4274C">
        <w:rPr>
          <w:rFonts w:cstheme="minorHAnsi"/>
          <w:sz w:val="24"/>
          <w:szCs w:val="24"/>
        </w:rPr>
        <w:t xml:space="preserve"> of professional misconduct</w:t>
      </w:r>
      <w:r w:rsidRPr="00D97077">
        <w:rPr>
          <w:rFonts w:cstheme="minorHAnsi"/>
          <w:sz w:val="24"/>
          <w:szCs w:val="24"/>
        </w:rPr>
        <w:t xml:space="preserve"> </w:t>
      </w:r>
      <w:r w:rsidR="00EA696E" w:rsidRPr="00D97077">
        <w:rPr>
          <w:rFonts w:cstheme="minorHAnsi"/>
          <w:sz w:val="24"/>
          <w:szCs w:val="24"/>
        </w:rPr>
        <w:t>laid by a Professional Conduct Committee</w:t>
      </w:r>
      <w:r w:rsidR="00B34A1F">
        <w:rPr>
          <w:rFonts w:cstheme="minorHAnsi"/>
          <w:sz w:val="24"/>
          <w:szCs w:val="24"/>
        </w:rPr>
        <w:t xml:space="preserve"> (PCC)</w:t>
      </w:r>
      <w:r w:rsidR="00C012C1" w:rsidRPr="00D97077">
        <w:rPr>
          <w:rFonts w:cstheme="minorHAnsi"/>
          <w:sz w:val="24"/>
          <w:szCs w:val="24"/>
        </w:rPr>
        <w:t>,</w:t>
      </w:r>
      <w:r w:rsidRPr="00D97077">
        <w:rPr>
          <w:rFonts w:cstheme="minorHAnsi"/>
          <w:sz w:val="24"/>
          <w:szCs w:val="24"/>
        </w:rPr>
        <w:t xml:space="preserve"> against M</w:t>
      </w:r>
      <w:r w:rsidR="00E4274C">
        <w:rPr>
          <w:rFonts w:cstheme="minorHAnsi"/>
          <w:sz w:val="24"/>
          <w:szCs w:val="24"/>
        </w:rPr>
        <w:t xml:space="preserve">r </w:t>
      </w:r>
      <w:proofErr w:type="spellStart"/>
      <w:r w:rsidR="00E4274C">
        <w:rPr>
          <w:rFonts w:cstheme="minorHAnsi"/>
          <w:sz w:val="24"/>
          <w:szCs w:val="24"/>
        </w:rPr>
        <w:t>Sioeli</w:t>
      </w:r>
      <w:proofErr w:type="spellEnd"/>
      <w:r w:rsidR="00E4274C">
        <w:rPr>
          <w:rFonts w:cstheme="minorHAnsi"/>
          <w:sz w:val="24"/>
          <w:szCs w:val="24"/>
        </w:rPr>
        <w:t xml:space="preserve"> </w:t>
      </w:r>
      <w:proofErr w:type="spellStart"/>
      <w:r w:rsidR="00E4274C">
        <w:rPr>
          <w:rFonts w:cstheme="minorHAnsi"/>
          <w:sz w:val="24"/>
          <w:szCs w:val="24"/>
        </w:rPr>
        <w:t>Vaiangina</w:t>
      </w:r>
      <w:proofErr w:type="spellEnd"/>
      <w:r w:rsidR="00E4274C">
        <w:rPr>
          <w:rFonts w:cstheme="minorHAnsi"/>
          <w:sz w:val="24"/>
          <w:szCs w:val="24"/>
        </w:rPr>
        <w:t>,</w:t>
      </w:r>
      <w:r w:rsidR="00EA696E" w:rsidRPr="00D97077">
        <w:rPr>
          <w:rFonts w:cstheme="minorHAnsi"/>
          <w:sz w:val="24"/>
          <w:szCs w:val="24"/>
        </w:rPr>
        <w:t xml:space="preserve"> reg</w:t>
      </w:r>
      <w:r w:rsidRPr="00D97077">
        <w:rPr>
          <w:rFonts w:cstheme="minorHAnsi"/>
          <w:sz w:val="24"/>
          <w:szCs w:val="24"/>
        </w:rPr>
        <w:t xml:space="preserve">istered social </w:t>
      </w:r>
      <w:r w:rsidR="00E4274C">
        <w:rPr>
          <w:rFonts w:cstheme="minorHAnsi"/>
          <w:sz w:val="24"/>
          <w:szCs w:val="24"/>
        </w:rPr>
        <w:t>worker of Auckland</w:t>
      </w:r>
      <w:r w:rsidR="006336F6" w:rsidRPr="00D97077">
        <w:rPr>
          <w:rFonts w:cstheme="minorHAnsi"/>
          <w:sz w:val="24"/>
          <w:szCs w:val="24"/>
        </w:rPr>
        <w:t xml:space="preserve"> (the social w</w:t>
      </w:r>
      <w:r w:rsidRPr="00D97077">
        <w:rPr>
          <w:rFonts w:cstheme="minorHAnsi"/>
          <w:sz w:val="24"/>
          <w:szCs w:val="24"/>
        </w:rPr>
        <w:t xml:space="preserve">orker). </w:t>
      </w:r>
      <w:r w:rsidR="002F5C4D" w:rsidRPr="00D97077">
        <w:rPr>
          <w:rFonts w:cstheme="minorHAnsi"/>
          <w:sz w:val="24"/>
          <w:szCs w:val="24"/>
        </w:rPr>
        <w:t xml:space="preserve"> </w:t>
      </w:r>
    </w:p>
    <w:p w14:paraId="0A062023" w14:textId="77777777" w:rsidR="00363367" w:rsidRPr="00D97077" w:rsidRDefault="002F5C4D" w:rsidP="00C012C1">
      <w:pPr>
        <w:rPr>
          <w:rFonts w:cstheme="minorHAnsi"/>
          <w:sz w:val="24"/>
          <w:szCs w:val="24"/>
        </w:rPr>
      </w:pPr>
      <w:r w:rsidRPr="00D97077">
        <w:rPr>
          <w:rFonts w:cstheme="minorHAnsi"/>
          <w:sz w:val="24"/>
          <w:szCs w:val="24"/>
        </w:rPr>
        <w:t xml:space="preserve">The charge alleged that </w:t>
      </w:r>
      <w:r w:rsidR="00B06D1B" w:rsidRPr="00D97077">
        <w:rPr>
          <w:rFonts w:cstheme="minorHAnsi"/>
          <w:sz w:val="24"/>
          <w:szCs w:val="24"/>
        </w:rPr>
        <w:t xml:space="preserve">the </w:t>
      </w:r>
      <w:r w:rsidR="00363367" w:rsidRPr="00D97077">
        <w:rPr>
          <w:rFonts w:cstheme="minorHAnsi"/>
          <w:sz w:val="24"/>
          <w:szCs w:val="24"/>
        </w:rPr>
        <w:t>social worker:</w:t>
      </w:r>
    </w:p>
    <w:p w14:paraId="280B9F28" w14:textId="77777777" w:rsidR="00E4274C" w:rsidRPr="00883A37" w:rsidRDefault="00E4274C" w:rsidP="00883A37">
      <w:pPr>
        <w:pStyle w:val="ListParagraph"/>
        <w:numPr>
          <w:ilvl w:val="0"/>
          <w:numId w:val="5"/>
        </w:numPr>
        <w:rPr>
          <w:rFonts w:cstheme="minorHAnsi"/>
          <w:sz w:val="24"/>
          <w:szCs w:val="24"/>
        </w:rPr>
      </w:pPr>
      <w:r w:rsidRPr="00883A37">
        <w:rPr>
          <w:rFonts w:cstheme="minorHAnsi"/>
          <w:sz w:val="24"/>
          <w:szCs w:val="24"/>
        </w:rPr>
        <w:t>Indecently assaulted a young woman under the age of 16 on multiple occasions during 2015.</w:t>
      </w:r>
    </w:p>
    <w:p w14:paraId="60E57D19" w14:textId="77777777" w:rsidR="00EA696E" w:rsidRDefault="00883A37" w:rsidP="00883A37">
      <w:pPr>
        <w:pStyle w:val="ListParagraph"/>
        <w:numPr>
          <w:ilvl w:val="0"/>
          <w:numId w:val="5"/>
        </w:numPr>
        <w:rPr>
          <w:rFonts w:cstheme="minorHAnsi"/>
          <w:sz w:val="24"/>
          <w:szCs w:val="24"/>
        </w:rPr>
      </w:pPr>
      <w:r>
        <w:rPr>
          <w:rFonts w:cstheme="minorHAnsi"/>
          <w:sz w:val="24"/>
          <w:szCs w:val="24"/>
        </w:rPr>
        <w:t>I</w:t>
      </w:r>
      <w:r w:rsidR="00E4274C" w:rsidRPr="00883A37">
        <w:rPr>
          <w:rFonts w:cstheme="minorHAnsi"/>
          <w:sz w:val="24"/>
          <w:szCs w:val="24"/>
        </w:rPr>
        <w:t xml:space="preserve">n </w:t>
      </w:r>
      <w:r>
        <w:rPr>
          <w:rFonts w:cstheme="minorHAnsi"/>
          <w:sz w:val="24"/>
          <w:szCs w:val="24"/>
        </w:rPr>
        <w:t>2016</w:t>
      </w:r>
      <w:r w:rsidR="00E4274C" w:rsidRPr="00883A37">
        <w:rPr>
          <w:rFonts w:cstheme="minorHAnsi"/>
          <w:sz w:val="24"/>
          <w:szCs w:val="24"/>
        </w:rPr>
        <w:t xml:space="preserve"> received a formal warning from the police for an indecent act on a young person under 16</w:t>
      </w:r>
      <w:r w:rsidRPr="00883A37">
        <w:rPr>
          <w:rFonts w:cstheme="minorHAnsi"/>
          <w:sz w:val="24"/>
          <w:szCs w:val="24"/>
        </w:rPr>
        <w:t>.</w:t>
      </w:r>
      <w:r w:rsidR="00E4274C" w:rsidRPr="00883A37">
        <w:rPr>
          <w:rFonts w:cstheme="minorHAnsi"/>
          <w:sz w:val="24"/>
          <w:szCs w:val="24"/>
        </w:rPr>
        <w:t xml:space="preserve"> </w:t>
      </w:r>
    </w:p>
    <w:p w14:paraId="5EFD116E" w14:textId="77777777" w:rsidR="00883A37" w:rsidRDefault="00883A37" w:rsidP="00883A37">
      <w:pPr>
        <w:pStyle w:val="ListParagraph"/>
        <w:numPr>
          <w:ilvl w:val="0"/>
          <w:numId w:val="5"/>
        </w:numPr>
        <w:rPr>
          <w:rFonts w:cstheme="minorHAnsi"/>
          <w:sz w:val="24"/>
          <w:szCs w:val="24"/>
        </w:rPr>
      </w:pPr>
      <w:r>
        <w:rPr>
          <w:rFonts w:cstheme="minorHAnsi"/>
          <w:sz w:val="24"/>
          <w:szCs w:val="24"/>
        </w:rPr>
        <w:t>In 2017 did not disclose the police investigation or warning when renewing his practising certificate.</w:t>
      </w:r>
    </w:p>
    <w:p w14:paraId="2D9291A3" w14:textId="77777777" w:rsidR="00883A37" w:rsidRDefault="00883A37" w:rsidP="00883A37">
      <w:pPr>
        <w:pStyle w:val="ListParagraph"/>
        <w:numPr>
          <w:ilvl w:val="0"/>
          <w:numId w:val="5"/>
        </w:numPr>
        <w:rPr>
          <w:rFonts w:cstheme="minorHAnsi"/>
          <w:sz w:val="24"/>
          <w:szCs w:val="24"/>
        </w:rPr>
      </w:pPr>
      <w:r>
        <w:rPr>
          <w:rFonts w:cstheme="minorHAnsi"/>
          <w:sz w:val="24"/>
          <w:szCs w:val="24"/>
        </w:rPr>
        <w:t>Has not co-operated with the PCC’s investigation in any meaningful way.</w:t>
      </w:r>
    </w:p>
    <w:p w14:paraId="6AE9EA89" w14:textId="77777777" w:rsidR="00883A37" w:rsidRDefault="00883A37" w:rsidP="00883A37">
      <w:pPr>
        <w:pStyle w:val="ListParagraph"/>
        <w:numPr>
          <w:ilvl w:val="0"/>
          <w:numId w:val="5"/>
        </w:numPr>
        <w:rPr>
          <w:rFonts w:cstheme="minorHAnsi"/>
          <w:sz w:val="24"/>
          <w:szCs w:val="24"/>
        </w:rPr>
      </w:pPr>
      <w:r>
        <w:rPr>
          <w:rFonts w:cstheme="minorHAnsi"/>
          <w:sz w:val="24"/>
          <w:szCs w:val="24"/>
        </w:rPr>
        <w:t>Breached principles 1.1, 1.2, 9.1, 9.6 and 9.8 of the Code of Conduct issued by the Social Workers Registration Board pursuant to s105 of the Act (the Code) in respect to paragraph 1 above.</w:t>
      </w:r>
    </w:p>
    <w:p w14:paraId="2AD77F2F" w14:textId="77777777" w:rsidR="00883A37" w:rsidRDefault="00883A37" w:rsidP="00883A37">
      <w:pPr>
        <w:pStyle w:val="ListParagraph"/>
        <w:numPr>
          <w:ilvl w:val="0"/>
          <w:numId w:val="5"/>
        </w:numPr>
        <w:rPr>
          <w:rFonts w:cstheme="minorHAnsi"/>
          <w:sz w:val="24"/>
          <w:szCs w:val="24"/>
        </w:rPr>
      </w:pPr>
      <w:r>
        <w:rPr>
          <w:rFonts w:cstheme="minorHAnsi"/>
          <w:sz w:val="24"/>
          <w:szCs w:val="24"/>
        </w:rPr>
        <w:t>Breached principles 1.1, 1.2 and 9.1 of the Code in respect of paragraph 2 above.</w:t>
      </w:r>
    </w:p>
    <w:p w14:paraId="2836F9D4" w14:textId="77777777" w:rsidR="00883A37" w:rsidRDefault="00883A37" w:rsidP="00883A37">
      <w:pPr>
        <w:pStyle w:val="ListParagraph"/>
        <w:numPr>
          <w:ilvl w:val="0"/>
          <w:numId w:val="5"/>
        </w:numPr>
        <w:rPr>
          <w:rFonts w:cstheme="minorHAnsi"/>
          <w:sz w:val="24"/>
          <w:szCs w:val="24"/>
        </w:rPr>
      </w:pPr>
      <w:r>
        <w:rPr>
          <w:rFonts w:cstheme="minorHAnsi"/>
          <w:sz w:val="24"/>
          <w:szCs w:val="24"/>
        </w:rPr>
        <w:t>Breached principles 1.1, 9.1 and 9.6 of the Code in respect of paragraph 3 above.</w:t>
      </w:r>
    </w:p>
    <w:p w14:paraId="601B05FE" w14:textId="77777777" w:rsidR="00883A37" w:rsidRDefault="00883A37" w:rsidP="00883A37">
      <w:pPr>
        <w:pStyle w:val="ListParagraph"/>
        <w:numPr>
          <w:ilvl w:val="0"/>
          <w:numId w:val="5"/>
        </w:numPr>
        <w:rPr>
          <w:rFonts w:cstheme="minorHAnsi"/>
          <w:sz w:val="24"/>
          <w:szCs w:val="24"/>
        </w:rPr>
      </w:pPr>
      <w:r>
        <w:rPr>
          <w:rFonts w:cstheme="minorHAnsi"/>
          <w:sz w:val="24"/>
          <w:szCs w:val="24"/>
        </w:rPr>
        <w:t>Breached principle 9.7 of the Code in respect of paragraph 4 above.</w:t>
      </w:r>
    </w:p>
    <w:p w14:paraId="07C1C229" w14:textId="77777777" w:rsidR="00883A37" w:rsidRDefault="00883A37" w:rsidP="00883A37">
      <w:pPr>
        <w:ind w:left="720"/>
        <w:rPr>
          <w:rFonts w:cstheme="minorHAnsi"/>
          <w:sz w:val="24"/>
          <w:szCs w:val="24"/>
        </w:rPr>
      </w:pPr>
      <w:r>
        <w:rPr>
          <w:rFonts w:cstheme="minorHAnsi"/>
          <w:sz w:val="24"/>
          <w:szCs w:val="24"/>
        </w:rPr>
        <w:t xml:space="preserve">That the conduct above individually or cumulative amounts to professional misconduct </w:t>
      </w:r>
      <w:r w:rsidR="003946F7">
        <w:rPr>
          <w:rFonts w:cstheme="minorHAnsi"/>
          <w:sz w:val="24"/>
          <w:szCs w:val="24"/>
        </w:rPr>
        <w:t>or conduct that is unbecoming of a social worker.</w:t>
      </w:r>
    </w:p>
    <w:p w14:paraId="2F424D0D" w14:textId="77777777" w:rsidR="00B34A1F" w:rsidRDefault="00182B00" w:rsidP="00182B00">
      <w:pPr>
        <w:rPr>
          <w:rFonts w:cstheme="minorHAnsi"/>
          <w:sz w:val="24"/>
          <w:szCs w:val="24"/>
        </w:rPr>
      </w:pPr>
      <w:r>
        <w:rPr>
          <w:rFonts w:cstheme="minorHAnsi"/>
          <w:sz w:val="24"/>
          <w:szCs w:val="24"/>
        </w:rPr>
        <w:t xml:space="preserve">On </w:t>
      </w:r>
      <w:proofErr w:type="gramStart"/>
      <w:r>
        <w:rPr>
          <w:rFonts w:cstheme="minorHAnsi"/>
          <w:sz w:val="24"/>
          <w:szCs w:val="24"/>
        </w:rPr>
        <w:t>18 May 2020</w:t>
      </w:r>
      <w:proofErr w:type="gramEnd"/>
      <w:r>
        <w:rPr>
          <w:rFonts w:cstheme="minorHAnsi"/>
          <w:sz w:val="24"/>
          <w:szCs w:val="24"/>
        </w:rPr>
        <w:t xml:space="preserve"> the Tribunal </w:t>
      </w:r>
      <w:r w:rsidR="00B34A1F">
        <w:rPr>
          <w:rFonts w:cstheme="minorHAnsi"/>
          <w:sz w:val="24"/>
          <w:szCs w:val="24"/>
        </w:rPr>
        <w:t xml:space="preserve">convened a telephone conference call to consider a recommendation from the PCC for interim suspension of the social workers’ registration.  On </w:t>
      </w:r>
      <w:proofErr w:type="gramStart"/>
      <w:r w:rsidR="00B34A1F">
        <w:rPr>
          <w:rFonts w:cstheme="minorHAnsi"/>
          <w:sz w:val="24"/>
          <w:szCs w:val="24"/>
        </w:rPr>
        <w:t>28 May 2020</w:t>
      </w:r>
      <w:proofErr w:type="gramEnd"/>
      <w:r w:rsidR="00B34A1F">
        <w:rPr>
          <w:rFonts w:cstheme="minorHAnsi"/>
          <w:sz w:val="24"/>
          <w:szCs w:val="24"/>
        </w:rPr>
        <w:t xml:space="preserve"> the Tribunal made an order for interim suspension of the social worker’s practising certificate pending the hearing of the charge as set out above.</w:t>
      </w:r>
    </w:p>
    <w:p w14:paraId="1D92C15E" w14:textId="59668355" w:rsidR="00182B00" w:rsidRDefault="00B34A1F" w:rsidP="00B34A1F">
      <w:pPr>
        <w:rPr>
          <w:rFonts w:cstheme="minorHAnsi"/>
          <w:sz w:val="24"/>
          <w:szCs w:val="24"/>
        </w:rPr>
      </w:pPr>
      <w:r>
        <w:rPr>
          <w:rFonts w:cstheme="minorHAnsi"/>
          <w:sz w:val="24"/>
          <w:szCs w:val="24"/>
        </w:rPr>
        <w:t xml:space="preserve">On 14 and 15 September 2020, the Tribunal considered the charge of professional misconduct.  The social worker was not represented by counsel </w:t>
      </w:r>
      <w:r w:rsidR="001D40C4">
        <w:rPr>
          <w:rFonts w:cstheme="minorHAnsi"/>
          <w:sz w:val="24"/>
          <w:szCs w:val="24"/>
        </w:rPr>
        <w:t xml:space="preserve">at the hearing </w:t>
      </w:r>
      <w:r>
        <w:rPr>
          <w:rFonts w:cstheme="minorHAnsi"/>
          <w:sz w:val="24"/>
          <w:szCs w:val="24"/>
        </w:rPr>
        <w:t xml:space="preserve">and did not </w:t>
      </w:r>
      <w:r w:rsidR="001D40C4">
        <w:rPr>
          <w:rFonts w:cstheme="minorHAnsi"/>
          <w:sz w:val="24"/>
          <w:szCs w:val="24"/>
        </w:rPr>
        <w:t xml:space="preserve">himself </w:t>
      </w:r>
      <w:r>
        <w:rPr>
          <w:rFonts w:cstheme="minorHAnsi"/>
          <w:sz w:val="24"/>
          <w:szCs w:val="24"/>
        </w:rPr>
        <w:t>attend the hearing.</w:t>
      </w:r>
    </w:p>
    <w:p w14:paraId="2210FE3B" w14:textId="77777777" w:rsidR="00B34A1F" w:rsidRPr="00883A37" w:rsidRDefault="00B34A1F" w:rsidP="00B34A1F">
      <w:pPr>
        <w:rPr>
          <w:rFonts w:cstheme="minorHAnsi"/>
          <w:sz w:val="24"/>
          <w:szCs w:val="24"/>
        </w:rPr>
      </w:pPr>
      <w:r>
        <w:rPr>
          <w:rFonts w:cstheme="minorHAnsi"/>
          <w:sz w:val="24"/>
          <w:szCs w:val="24"/>
        </w:rPr>
        <w:t>The complainant, the victim of the social worker’s offending did not attend the hearing as a witness.</w:t>
      </w:r>
    </w:p>
    <w:p w14:paraId="00F5D110" w14:textId="77777777" w:rsidR="00111775" w:rsidRPr="00D97077" w:rsidRDefault="00111775" w:rsidP="00111775">
      <w:pPr>
        <w:rPr>
          <w:rFonts w:cstheme="minorHAnsi"/>
          <w:b/>
          <w:sz w:val="24"/>
          <w:szCs w:val="24"/>
        </w:rPr>
      </w:pPr>
      <w:r w:rsidRPr="00D97077">
        <w:rPr>
          <w:rFonts w:cstheme="minorHAnsi"/>
          <w:b/>
          <w:sz w:val="24"/>
          <w:szCs w:val="24"/>
        </w:rPr>
        <w:t>Finding</w:t>
      </w:r>
    </w:p>
    <w:p w14:paraId="71620C0E" w14:textId="14BC05F7" w:rsidR="00501DD9" w:rsidRDefault="00111775" w:rsidP="0048178F">
      <w:pPr>
        <w:rPr>
          <w:rFonts w:cstheme="minorHAnsi"/>
          <w:sz w:val="24"/>
          <w:szCs w:val="24"/>
        </w:rPr>
      </w:pPr>
      <w:r w:rsidRPr="00D97077">
        <w:rPr>
          <w:rFonts w:cstheme="minorHAnsi"/>
          <w:sz w:val="24"/>
          <w:szCs w:val="24"/>
        </w:rPr>
        <w:t>The Tribunal found</w:t>
      </w:r>
      <w:r w:rsidR="00B34A1F">
        <w:rPr>
          <w:rFonts w:cstheme="minorHAnsi"/>
          <w:sz w:val="24"/>
          <w:szCs w:val="24"/>
        </w:rPr>
        <w:t xml:space="preserve"> Particulars 1 and 5 of the charge</w:t>
      </w:r>
      <w:r w:rsidR="00501DD9">
        <w:rPr>
          <w:rFonts w:cstheme="minorHAnsi"/>
          <w:sz w:val="24"/>
          <w:szCs w:val="24"/>
        </w:rPr>
        <w:t xml:space="preserve"> not made out.  </w:t>
      </w:r>
      <w:proofErr w:type="gramStart"/>
      <w:r w:rsidR="00501DD9">
        <w:rPr>
          <w:rFonts w:cstheme="minorHAnsi"/>
          <w:sz w:val="24"/>
          <w:szCs w:val="24"/>
        </w:rPr>
        <w:t>Particular 1</w:t>
      </w:r>
      <w:proofErr w:type="gramEnd"/>
      <w:r w:rsidR="00501DD9">
        <w:rPr>
          <w:rFonts w:cstheme="minorHAnsi"/>
          <w:sz w:val="24"/>
          <w:szCs w:val="24"/>
        </w:rPr>
        <w:t xml:space="preserve"> of the charge relied wholly on the complainant’s evidence which the Tribunal found to be inadmissible in the </w:t>
      </w:r>
      <w:r w:rsidR="00501DD9">
        <w:rPr>
          <w:rFonts w:cstheme="minorHAnsi"/>
          <w:sz w:val="24"/>
          <w:szCs w:val="24"/>
        </w:rPr>
        <w:lastRenderedPageBreak/>
        <w:t>absence of the complainant attending as a witness</w:t>
      </w:r>
      <w:r w:rsidR="001D40C4">
        <w:rPr>
          <w:rFonts w:cstheme="minorHAnsi"/>
          <w:sz w:val="24"/>
          <w:szCs w:val="24"/>
        </w:rPr>
        <w:t xml:space="preserve"> and the Tribunal not being satisfied that she was unavailable</w:t>
      </w:r>
      <w:r w:rsidR="00501DD9">
        <w:rPr>
          <w:rFonts w:cstheme="minorHAnsi"/>
          <w:sz w:val="24"/>
          <w:szCs w:val="24"/>
        </w:rPr>
        <w:t xml:space="preserve">.  </w:t>
      </w:r>
      <w:proofErr w:type="gramStart"/>
      <w:r w:rsidR="00501DD9">
        <w:rPr>
          <w:rFonts w:cstheme="minorHAnsi"/>
          <w:sz w:val="24"/>
          <w:szCs w:val="24"/>
        </w:rPr>
        <w:t>As a consequence of</w:t>
      </w:r>
      <w:proofErr w:type="gramEnd"/>
      <w:r w:rsidR="00501DD9">
        <w:rPr>
          <w:rFonts w:cstheme="minorHAnsi"/>
          <w:sz w:val="24"/>
          <w:szCs w:val="24"/>
        </w:rPr>
        <w:t xml:space="preserve"> this, Particular 5 was not proved.</w:t>
      </w:r>
    </w:p>
    <w:p w14:paraId="59756C99" w14:textId="77777777" w:rsidR="00501DD9" w:rsidRDefault="00501DD9" w:rsidP="0048178F">
      <w:pPr>
        <w:rPr>
          <w:rFonts w:cstheme="minorHAnsi"/>
          <w:sz w:val="24"/>
          <w:szCs w:val="24"/>
        </w:rPr>
      </w:pPr>
      <w:r>
        <w:rPr>
          <w:rFonts w:cstheme="minorHAnsi"/>
          <w:sz w:val="24"/>
          <w:szCs w:val="24"/>
        </w:rPr>
        <w:t>The Tribunal found that Particulars 2, 3 6 and 7 to be made out.</w:t>
      </w:r>
      <w:r w:rsidR="00D876A9">
        <w:rPr>
          <w:rFonts w:cstheme="minorHAnsi"/>
          <w:sz w:val="24"/>
          <w:szCs w:val="24"/>
        </w:rPr>
        <w:t xml:space="preserve">  The Tribunal considers that the fact and circumstances of the Police warning are sufficient to undermine the trust and confidence the community must be able to hold in a registered social worker.  A social worker must demonstrate good decision making and ethical conduct in their own life</w:t>
      </w:r>
      <w:r w:rsidR="00B419F5">
        <w:rPr>
          <w:rFonts w:cstheme="minorHAnsi"/>
          <w:sz w:val="24"/>
          <w:szCs w:val="24"/>
        </w:rPr>
        <w:t xml:space="preserve">.  Clients they work with place significant trust in them as a social worker. </w:t>
      </w:r>
    </w:p>
    <w:p w14:paraId="08D4042D" w14:textId="280CF03C" w:rsidR="00363367" w:rsidRPr="00D97077" w:rsidRDefault="00501DD9" w:rsidP="0048178F">
      <w:pPr>
        <w:rPr>
          <w:rFonts w:cstheme="minorHAnsi"/>
          <w:sz w:val="24"/>
          <w:szCs w:val="24"/>
        </w:rPr>
      </w:pPr>
      <w:r>
        <w:rPr>
          <w:rFonts w:cstheme="minorHAnsi"/>
          <w:sz w:val="24"/>
          <w:szCs w:val="24"/>
        </w:rPr>
        <w:t xml:space="preserve"> </w:t>
      </w:r>
      <w:proofErr w:type="gramStart"/>
      <w:r>
        <w:rPr>
          <w:rFonts w:cstheme="minorHAnsi"/>
          <w:sz w:val="24"/>
          <w:szCs w:val="24"/>
        </w:rPr>
        <w:t>Particulars 4</w:t>
      </w:r>
      <w:proofErr w:type="gramEnd"/>
      <w:r>
        <w:rPr>
          <w:rFonts w:cstheme="minorHAnsi"/>
          <w:sz w:val="24"/>
          <w:szCs w:val="24"/>
        </w:rPr>
        <w:t xml:space="preserve"> and 8 </w:t>
      </w:r>
      <w:r w:rsidR="001D40C4">
        <w:rPr>
          <w:rFonts w:cstheme="minorHAnsi"/>
          <w:sz w:val="24"/>
          <w:szCs w:val="24"/>
        </w:rPr>
        <w:t xml:space="preserve">were </w:t>
      </w:r>
      <w:r>
        <w:rPr>
          <w:rFonts w:cstheme="minorHAnsi"/>
          <w:sz w:val="24"/>
          <w:szCs w:val="24"/>
        </w:rPr>
        <w:t>not made out</w:t>
      </w:r>
      <w:r w:rsidR="00253589">
        <w:rPr>
          <w:rFonts w:cstheme="minorHAnsi"/>
          <w:sz w:val="24"/>
          <w:szCs w:val="24"/>
        </w:rPr>
        <w:t xml:space="preserve">.  </w:t>
      </w:r>
      <w:r w:rsidR="001D40C4">
        <w:rPr>
          <w:rFonts w:cstheme="minorHAnsi"/>
          <w:sz w:val="24"/>
          <w:szCs w:val="24"/>
        </w:rPr>
        <w:t>The</w:t>
      </w:r>
      <w:r w:rsidR="00253589">
        <w:rPr>
          <w:rFonts w:cstheme="minorHAnsi"/>
          <w:sz w:val="24"/>
          <w:szCs w:val="24"/>
        </w:rPr>
        <w:t xml:space="preserve"> full co-operation of social workers who are under investigation </w:t>
      </w:r>
      <w:r w:rsidR="001D40C4">
        <w:rPr>
          <w:rFonts w:cstheme="minorHAnsi"/>
          <w:sz w:val="24"/>
          <w:szCs w:val="24"/>
        </w:rPr>
        <w:t xml:space="preserve">is to </w:t>
      </w:r>
      <w:r w:rsidR="00253589">
        <w:rPr>
          <w:rFonts w:cstheme="minorHAnsi"/>
          <w:sz w:val="24"/>
          <w:szCs w:val="24"/>
        </w:rPr>
        <w:t>be encouraged.  A social worker can miss the opportunity to influence the deliberations of and recommendations made by the PCC</w:t>
      </w:r>
      <w:r w:rsidR="001D40C4">
        <w:rPr>
          <w:rFonts w:cstheme="minorHAnsi"/>
          <w:sz w:val="24"/>
          <w:szCs w:val="24"/>
        </w:rPr>
        <w:t xml:space="preserve"> if they do not engage in the investigation process.</w:t>
      </w:r>
      <w:r w:rsidR="00253589">
        <w:rPr>
          <w:rFonts w:cstheme="minorHAnsi"/>
          <w:sz w:val="24"/>
          <w:szCs w:val="24"/>
        </w:rPr>
        <w:t xml:space="preserve"> However</w:t>
      </w:r>
      <w:r w:rsidR="001D40C4">
        <w:rPr>
          <w:rFonts w:cstheme="minorHAnsi"/>
          <w:sz w:val="24"/>
          <w:szCs w:val="24"/>
        </w:rPr>
        <w:t>,</w:t>
      </w:r>
      <w:r w:rsidR="00253589">
        <w:rPr>
          <w:rFonts w:cstheme="minorHAnsi"/>
          <w:sz w:val="24"/>
          <w:szCs w:val="24"/>
        </w:rPr>
        <w:t xml:space="preserve"> the Act does not impose an obligation on the social worker to fully engage</w:t>
      </w:r>
      <w:r w:rsidR="001D40C4">
        <w:rPr>
          <w:rFonts w:cstheme="minorHAnsi"/>
          <w:sz w:val="24"/>
          <w:szCs w:val="24"/>
        </w:rPr>
        <w:t xml:space="preserve"> but requires the PCC to provide opportunities </w:t>
      </w:r>
      <w:r w:rsidR="00253589">
        <w:rPr>
          <w:rFonts w:cstheme="minorHAnsi"/>
          <w:sz w:val="24"/>
          <w:szCs w:val="24"/>
        </w:rPr>
        <w:t xml:space="preserve">for the social worker to </w:t>
      </w:r>
      <w:r w:rsidR="001D40C4">
        <w:rPr>
          <w:rFonts w:cstheme="minorHAnsi"/>
          <w:sz w:val="24"/>
          <w:szCs w:val="24"/>
        </w:rPr>
        <w:t xml:space="preserve">receive information and to </w:t>
      </w:r>
      <w:r w:rsidR="00253589">
        <w:rPr>
          <w:rFonts w:cstheme="minorHAnsi"/>
          <w:sz w:val="24"/>
          <w:szCs w:val="24"/>
        </w:rPr>
        <w:t xml:space="preserve">be </w:t>
      </w:r>
      <w:r w:rsidR="001D40C4">
        <w:rPr>
          <w:rFonts w:cstheme="minorHAnsi"/>
          <w:sz w:val="24"/>
          <w:szCs w:val="24"/>
        </w:rPr>
        <w:t>heard</w:t>
      </w:r>
      <w:r w:rsidR="00253589">
        <w:rPr>
          <w:rFonts w:cstheme="minorHAnsi"/>
          <w:sz w:val="24"/>
          <w:szCs w:val="24"/>
        </w:rPr>
        <w:t>.</w:t>
      </w:r>
    </w:p>
    <w:p w14:paraId="48B0D69D" w14:textId="77777777" w:rsidR="00111775" w:rsidRPr="00D97077" w:rsidRDefault="00A52D75" w:rsidP="00A52D75">
      <w:pPr>
        <w:rPr>
          <w:rFonts w:cstheme="minorHAnsi"/>
          <w:b/>
          <w:sz w:val="24"/>
          <w:szCs w:val="24"/>
        </w:rPr>
      </w:pPr>
      <w:r w:rsidRPr="00D97077">
        <w:rPr>
          <w:rFonts w:cstheme="minorHAnsi"/>
          <w:b/>
          <w:sz w:val="24"/>
          <w:szCs w:val="24"/>
        </w:rPr>
        <w:t>Penalty</w:t>
      </w:r>
    </w:p>
    <w:p w14:paraId="43261B94" w14:textId="77777777" w:rsidR="006336F6" w:rsidRPr="00D97077" w:rsidRDefault="00B06D1B" w:rsidP="000B52D4">
      <w:pPr>
        <w:rPr>
          <w:rFonts w:cstheme="minorHAnsi"/>
          <w:sz w:val="24"/>
          <w:szCs w:val="24"/>
        </w:rPr>
      </w:pPr>
      <w:r w:rsidRPr="00D97077">
        <w:rPr>
          <w:rFonts w:cstheme="minorHAnsi"/>
          <w:sz w:val="24"/>
          <w:szCs w:val="24"/>
        </w:rPr>
        <w:t xml:space="preserve">The </w:t>
      </w:r>
      <w:r w:rsidR="006336F6" w:rsidRPr="00D97077">
        <w:rPr>
          <w:rFonts w:cstheme="minorHAnsi"/>
          <w:sz w:val="24"/>
          <w:szCs w:val="24"/>
        </w:rPr>
        <w:t xml:space="preserve">social worker was </w:t>
      </w:r>
      <w:proofErr w:type="gramStart"/>
      <w:r w:rsidR="006336F6" w:rsidRPr="00D97077">
        <w:rPr>
          <w:rFonts w:cstheme="minorHAnsi"/>
          <w:sz w:val="24"/>
          <w:szCs w:val="24"/>
        </w:rPr>
        <w:t>censured</w:t>
      </w:r>
      <w:proofErr w:type="gramEnd"/>
      <w:r w:rsidR="006336F6" w:rsidRPr="00D97077">
        <w:rPr>
          <w:rFonts w:cstheme="minorHAnsi"/>
          <w:sz w:val="24"/>
          <w:szCs w:val="24"/>
        </w:rPr>
        <w:t xml:space="preserve"> </w:t>
      </w:r>
      <w:r w:rsidR="003A5CD0" w:rsidRPr="00D97077">
        <w:rPr>
          <w:rFonts w:cstheme="minorHAnsi"/>
          <w:sz w:val="24"/>
          <w:szCs w:val="24"/>
        </w:rPr>
        <w:t xml:space="preserve">and </w:t>
      </w:r>
      <w:r w:rsidR="00253589">
        <w:rPr>
          <w:rFonts w:cstheme="minorHAnsi"/>
          <w:sz w:val="24"/>
          <w:szCs w:val="24"/>
        </w:rPr>
        <w:t xml:space="preserve">his registration cancelled.  The Tribunal ordered the social worker to pay $1,000 towards </w:t>
      </w:r>
      <w:r w:rsidR="003A5CD0" w:rsidRPr="00D97077">
        <w:rPr>
          <w:rFonts w:cstheme="minorHAnsi"/>
          <w:sz w:val="24"/>
          <w:szCs w:val="24"/>
        </w:rPr>
        <w:t>the</w:t>
      </w:r>
      <w:r w:rsidR="006336F6" w:rsidRPr="00D97077">
        <w:rPr>
          <w:rFonts w:cstheme="minorHAnsi"/>
          <w:sz w:val="24"/>
          <w:szCs w:val="24"/>
        </w:rPr>
        <w:t xml:space="preserve"> costs and expenses of and incidental to the investigation, prosec</w:t>
      </w:r>
      <w:r w:rsidR="00253589">
        <w:rPr>
          <w:rFonts w:cstheme="minorHAnsi"/>
          <w:sz w:val="24"/>
          <w:szCs w:val="24"/>
        </w:rPr>
        <w:t xml:space="preserve">ution and hearing of the charge noting that this sum while only a very small proportion of the actual costs incurred, will be a significant amount </w:t>
      </w:r>
      <w:r w:rsidR="001B5F75">
        <w:rPr>
          <w:rFonts w:cstheme="minorHAnsi"/>
          <w:sz w:val="24"/>
          <w:szCs w:val="24"/>
        </w:rPr>
        <w:t>to the social worker given his financial circumstances.</w:t>
      </w:r>
    </w:p>
    <w:p w14:paraId="27FCCEBD" w14:textId="77777777" w:rsidR="0048178F" w:rsidRDefault="0048178F" w:rsidP="000B52D4">
      <w:pPr>
        <w:rPr>
          <w:rFonts w:cstheme="minorHAnsi"/>
          <w:sz w:val="24"/>
          <w:szCs w:val="24"/>
        </w:rPr>
      </w:pPr>
      <w:r w:rsidRPr="00D97077">
        <w:rPr>
          <w:rFonts w:cstheme="minorHAnsi"/>
          <w:sz w:val="24"/>
          <w:szCs w:val="24"/>
        </w:rPr>
        <w:t>The Tribunal directed that the decision and a summa</w:t>
      </w:r>
      <w:r w:rsidR="006336F6" w:rsidRPr="00D97077">
        <w:rPr>
          <w:rFonts w:cstheme="minorHAnsi"/>
          <w:sz w:val="24"/>
          <w:szCs w:val="24"/>
        </w:rPr>
        <w:t>ry</w:t>
      </w:r>
      <w:r w:rsidR="006336F6" w:rsidRPr="00D97077">
        <w:rPr>
          <w:rFonts w:ascii="Times New Roman" w:hAnsi="Times New Roman" w:cs="Times New Roman"/>
          <w:sz w:val="24"/>
          <w:szCs w:val="24"/>
        </w:rPr>
        <w:t xml:space="preserve"> </w:t>
      </w:r>
      <w:r w:rsidR="006336F6" w:rsidRPr="00A040D2">
        <w:rPr>
          <w:rFonts w:cstheme="minorHAnsi"/>
          <w:sz w:val="24"/>
          <w:szCs w:val="24"/>
        </w:rPr>
        <w:t>of the decision be published.</w:t>
      </w:r>
    </w:p>
    <w:p w14:paraId="4C627703" w14:textId="7FCEFE86" w:rsidR="00A040D2" w:rsidRPr="00D97077" w:rsidRDefault="00A040D2" w:rsidP="000B52D4">
      <w:pPr>
        <w:rPr>
          <w:rFonts w:ascii="Times New Roman" w:hAnsi="Times New Roman" w:cs="Times New Roman"/>
          <w:sz w:val="24"/>
          <w:szCs w:val="24"/>
        </w:rPr>
      </w:pPr>
      <w:r>
        <w:rPr>
          <w:rFonts w:cstheme="minorHAnsi"/>
          <w:sz w:val="24"/>
          <w:szCs w:val="24"/>
        </w:rPr>
        <w:t xml:space="preserve">The full and reasoned decision can be found at </w:t>
      </w:r>
      <w:hyperlink r:id="rId7" w:history="1">
        <w:r w:rsidR="002312FF" w:rsidRPr="00BA2E10">
          <w:rPr>
            <w:rStyle w:val="Hyperlink"/>
            <w:rFonts w:cstheme="minorHAnsi"/>
            <w:sz w:val="24"/>
            <w:szCs w:val="24"/>
          </w:rPr>
          <w:t>https://swrb.govt.nz/public-and-employers/tribunal-decisions/</w:t>
        </w:r>
      </w:hyperlink>
      <w:r w:rsidR="002312FF">
        <w:rPr>
          <w:rFonts w:cstheme="minorHAnsi"/>
          <w:sz w:val="24"/>
          <w:szCs w:val="24"/>
        </w:rPr>
        <w:t xml:space="preserve"> </w:t>
      </w:r>
    </w:p>
    <w:sectPr w:rsidR="00A040D2" w:rsidRPr="00D97077" w:rsidSect="006336F6">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9BA7" w14:textId="77777777" w:rsidR="00EB25AD" w:rsidRDefault="00EB25AD" w:rsidP="006336F6">
      <w:pPr>
        <w:spacing w:after="0" w:line="240" w:lineRule="auto"/>
      </w:pPr>
      <w:r>
        <w:separator/>
      </w:r>
    </w:p>
  </w:endnote>
  <w:endnote w:type="continuationSeparator" w:id="0">
    <w:p w14:paraId="29EE536E" w14:textId="77777777" w:rsidR="00EB25AD" w:rsidRDefault="00EB25AD" w:rsidP="006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2719" w14:textId="77777777" w:rsidR="00EB25AD" w:rsidRDefault="00EB25AD" w:rsidP="006336F6">
      <w:pPr>
        <w:spacing w:after="0" w:line="240" w:lineRule="auto"/>
      </w:pPr>
      <w:r>
        <w:separator/>
      </w:r>
    </w:p>
  </w:footnote>
  <w:footnote w:type="continuationSeparator" w:id="0">
    <w:p w14:paraId="1CBBA5E8" w14:textId="77777777" w:rsidR="00EB25AD" w:rsidRDefault="00EB25AD" w:rsidP="0063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63B"/>
    <w:multiLevelType w:val="hybridMultilevel"/>
    <w:tmpl w:val="CC7E826E"/>
    <w:lvl w:ilvl="0" w:tplc="E774089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ED25C8C"/>
    <w:multiLevelType w:val="hybridMultilevel"/>
    <w:tmpl w:val="A6A81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BB38AD"/>
    <w:multiLevelType w:val="hybridMultilevel"/>
    <w:tmpl w:val="DB8870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7254E7A"/>
    <w:multiLevelType w:val="hybridMultilevel"/>
    <w:tmpl w:val="CF4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D1B53"/>
    <w:multiLevelType w:val="hybridMultilevel"/>
    <w:tmpl w:val="F81601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D4"/>
    <w:rsid w:val="00077676"/>
    <w:rsid w:val="00095A05"/>
    <w:rsid w:val="000A776E"/>
    <w:rsid w:val="000B52D4"/>
    <w:rsid w:val="00111775"/>
    <w:rsid w:val="00182B00"/>
    <w:rsid w:val="001B5F75"/>
    <w:rsid w:val="001D40C4"/>
    <w:rsid w:val="002312FF"/>
    <w:rsid w:val="00253589"/>
    <w:rsid w:val="00267284"/>
    <w:rsid w:val="002F5C4D"/>
    <w:rsid w:val="00363367"/>
    <w:rsid w:val="00387A1F"/>
    <w:rsid w:val="003946F7"/>
    <w:rsid w:val="003A5CD0"/>
    <w:rsid w:val="003B3D54"/>
    <w:rsid w:val="003C170E"/>
    <w:rsid w:val="0048178F"/>
    <w:rsid w:val="004A6411"/>
    <w:rsid w:val="00501DD9"/>
    <w:rsid w:val="00537989"/>
    <w:rsid w:val="0062481A"/>
    <w:rsid w:val="006336F6"/>
    <w:rsid w:val="007A1322"/>
    <w:rsid w:val="007F326E"/>
    <w:rsid w:val="00883A37"/>
    <w:rsid w:val="00962EF6"/>
    <w:rsid w:val="0098026B"/>
    <w:rsid w:val="009A6CCD"/>
    <w:rsid w:val="00A040D2"/>
    <w:rsid w:val="00A15CC7"/>
    <w:rsid w:val="00A52D75"/>
    <w:rsid w:val="00AB5055"/>
    <w:rsid w:val="00B06D1B"/>
    <w:rsid w:val="00B21C05"/>
    <w:rsid w:val="00B34A1F"/>
    <w:rsid w:val="00B419F5"/>
    <w:rsid w:val="00B63F95"/>
    <w:rsid w:val="00C012C1"/>
    <w:rsid w:val="00D13D2E"/>
    <w:rsid w:val="00D43A2B"/>
    <w:rsid w:val="00D876A9"/>
    <w:rsid w:val="00D97077"/>
    <w:rsid w:val="00E04EB8"/>
    <w:rsid w:val="00E42000"/>
    <w:rsid w:val="00E4274C"/>
    <w:rsid w:val="00E44313"/>
    <w:rsid w:val="00EA696E"/>
    <w:rsid w:val="00EB25AD"/>
    <w:rsid w:val="00EE37DE"/>
    <w:rsid w:val="00F16CD3"/>
    <w:rsid w:val="00F324C7"/>
    <w:rsid w:val="00FD5429"/>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ED1A7"/>
  <w15:docId w15:val="{1544C11B-3D5A-4471-93F3-5C71A3A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6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D4"/>
    <w:pPr>
      <w:ind w:left="720"/>
      <w:contextualSpacing/>
    </w:pPr>
  </w:style>
  <w:style w:type="paragraph" w:styleId="BalloonText">
    <w:name w:val="Balloon Text"/>
    <w:basedOn w:val="Normal"/>
    <w:link w:val="BalloonTextChar"/>
    <w:uiPriority w:val="99"/>
    <w:semiHidden/>
    <w:unhideWhenUsed/>
    <w:rsid w:val="0053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89"/>
    <w:rPr>
      <w:rFonts w:ascii="Segoe UI" w:hAnsi="Segoe UI" w:cs="Segoe UI"/>
      <w:sz w:val="18"/>
      <w:szCs w:val="18"/>
      <w:lang w:val="en-NZ"/>
    </w:rPr>
  </w:style>
  <w:style w:type="paragraph" w:styleId="Header">
    <w:name w:val="header"/>
    <w:basedOn w:val="Normal"/>
    <w:link w:val="HeaderChar"/>
    <w:uiPriority w:val="99"/>
    <w:unhideWhenUsed/>
    <w:rsid w:val="006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F6"/>
    <w:rPr>
      <w:lang w:val="en-NZ"/>
    </w:rPr>
  </w:style>
  <w:style w:type="paragraph" w:styleId="Footer">
    <w:name w:val="footer"/>
    <w:basedOn w:val="Normal"/>
    <w:link w:val="FooterChar"/>
    <w:uiPriority w:val="99"/>
    <w:unhideWhenUsed/>
    <w:rsid w:val="006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F6"/>
    <w:rPr>
      <w:lang w:val="en-NZ"/>
    </w:rPr>
  </w:style>
  <w:style w:type="character" w:styleId="Hyperlink">
    <w:name w:val="Hyperlink"/>
    <w:basedOn w:val="DefaultParagraphFont"/>
    <w:uiPriority w:val="99"/>
    <w:unhideWhenUsed/>
    <w:rsid w:val="002312FF"/>
    <w:rPr>
      <w:color w:val="0000FF" w:themeColor="hyperlink"/>
      <w:u w:val="single"/>
    </w:rPr>
  </w:style>
  <w:style w:type="character" w:styleId="UnresolvedMention">
    <w:name w:val="Unresolved Mention"/>
    <w:basedOn w:val="DefaultParagraphFont"/>
    <w:uiPriority w:val="99"/>
    <w:semiHidden/>
    <w:unhideWhenUsed/>
    <w:rsid w:val="0023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rb.govt.nz/public-and-employers/tribunal-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Council of New Zealand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Patrick Jennings</cp:lastModifiedBy>
  <cp:revision>2</cp:revision>
  <cp:lastPrinted>2016-08-30T03:33:00Z</cp:lastPrinted>
  <dcterms:created xsi:type="dcterms:W3CDTF">2021-02-16T03:13:00Z</dcterms:created>
  <dcterms:modified xsi:type="dcterms:W3CDTF">2021-02-16T03:13:00Z</dcterms:modified>
</cp:coreProperties>
</file>